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653" w:rsidRDefault="001D5653" w:rsidP="008A5168">
      <w:bookmarkStart w:id="0" w:name="_Toc406701201"/>
    </w:p>
    <w:p w:rsidR="001D5653" w:rsidRDefault="001D5653" w:rsidP="008A5168">
      <w:bookmarkStart w:id="1" w:name="_GoBack"/>
      <w:bookmarkEnd w:id="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37478">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9F1D5E">
          <w:rPr>
            <w:rStyle w:val="af0"/>
            <w:rFonts w:ascii="Times New Roman" w:hAnsi="Times New Roman" w:cs="Times New Roman"/>
            <w:noProof/>
            <w:color w:val="000000" w:themeColor="text1"/>
          </w:rPr>
          <w:t xml:space="preserve"> </w:t>
        </w:r>
        <w:r w:rsidR="001366AC">
          <w:rPr>
            <w:rStyle w:val="af0"/>
            <w:rFonts w:ascii="Times New Roman" w:hAnsi="Times New Roman" w:cs="Times New Roman"/>
            <w:noProof/>
            <w:color w:val="000000" w:themeColor="text1"/>
          </w:rPr>
          <w:t xml:space="preserve"> </w:t>
        </w:r>
        <w:r w:rsidR="00F37478">
          <w:rPr>
            <w:rStyle w:val="af0"/>
            <w:rFonts w:ascii="Times New Roman" w:hAnsi="Times New Roman" w:cs="Times New Roman"/>
            <w:noProof/>
            <w:color w:val="000000" w:themeColor="text1"/>
          </w:rPr>
          <w:t xml:space="preserve"> ТЕРЕЗИНСКОГО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CD48F6"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0" w:history="1"/>
      <w:hyperlink w:anchor="_Toc418594762" w:history="1">
        <w:r w:rsidR="00650D9D">
          <w:rPr>
            <w:rStyle w:val="af0"/>
            <w:rFonts w:ascii="Times New Roman" w:hAnsi="Times New Roman" w:cs="Times New Roman"/>
            <w:noProof/>
          </w:rPr>
          <w:t>4.3</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650D9D">
          <w:rPr>
            <w:rStyle w:val="af0"/>
            <w:rFonts w:ascii="Times New Roman" w:hAnsi="Times New Roman" w:cs="Times New Roman"/>
            <w:noProof/>
          </w:rPr>
          <w:t>4</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650D9D">
          <w:rPr>
            <w:rStyle w:val="af0"/>
            <w:rFonts w:ascii="Times New Roman" w:hAnsi="Times New Roman" w:cs="Times New Roman"/>
            <w:noProof/>
          </w:rPr>
          <w:t>4.5</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650D9D">
          <w:rPr>
            <w:rStyle w:val="af0"/>
            <w:rFonts w:ascii="Times New Roman" w:hAnsi="Times New Roman" w:cs="Times New Roman"/>
            <w:noProof/>
          </w:rPr>
          <w:t>4.6</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650D9D">
          <w:rPr>
            <w:rStyle w:val="af0"/>
            <w:rFonts w:ascii="Times New Roman" w:hAnsi="Times New Roman" w:cs="Times New Roman"/>
            <w:noProof/>
          </w:rPr>
          <w:t>4.7</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650D9D">
          <w:rPr>
            <w:rStyle w:val="af0"/>
            <w:rFonts w:ascii="Times New Roman" w:hAnsi="Times New Roman" w:cs="Times New Roman"/>
            <w:noProof/>
          </w:rPr>
          <w:t>4.8</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650D9D">
          <w:rPr>
            <w:rStyle w:val="af0"/>
            <w:rFonts w:ascii="Times New Roman" w:hAnsi="Times New Roman" w:cs="Times New Roman"/>
            <w:noProof/>
          </w:rPr>
          <w:t>4.9</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650D9D">
          <w:rPr>
            <w:rStyle w:val="af0"/>
            <w:rFonts w:ascii="Times New Roman" w:hAnsi="Times New Roman" w:cs="Times New Roman"/>
            <w:noProof/>
          </w:rPr>
          <w:t>0</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650D9D">
          <w:rPr>
            <w:rStyle w:val="af0"/>
            <w:rFonts w:ascii="Times New Roman" w:hAnsi="Times New Roman" w:cs="Times New Roman"/>
            <w:noProof/>
          </w:rPr>
          <w:t>1</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650D9D">
          <w:rPr>
            <w:rStyle w:val="af0"/>
            <w:rFonts w:ascii="Times New Roman" w:hAnsi="Times New Roman" w:cs="Times New Roman"/>
            <w:noProof/>
          </w:rPr>
          <w:t>2</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650D9D">
          <w:rPr>
            <w:rStyle w:val="af0"/>
            <w:rFonts w:ascii="Times New Roman" w:hAnsi="Times New Roman" w:cs="Times New Roman"/>
            <w:noProof/>
          </w:rPr>
          <w:t>4.13</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CD48F6"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CD48F6"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CD48F6"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w:t>
      </w:r>
      <w:r w:rsidR="009F1D5E">
        <w:rPr>
          <w:sz w:val="24"/>
          <w:szCs w:val="24"/>
        </w:rPr>
        <w:t xml:space="preserve"> </w:t>
      </w:r>
      <w:r w:rsidR="00F37478">
        <w:rPr>
          <w:sz w:val="24"/>
          <w:szCs w:val="24"/>
        </w:rPr>
        <w:t>ТЕРЕЗИНСКОГО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1366AC">
        <w:t xml:space="preserve"> </w:t>
      </w:r>
      <w:r w:rsidR="00F37478">
        <w:t>Терезинского</w:t>
      </w:r>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Малокарачаевского</w:t>
      </w:r>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r w:rsidRPr="0020170A">
        <w:t>Размещение новых и реконструкция суще</w:t>
      </w:r>
      <w:r w:rsidR="00DF2740">
        <w:t>ствующей территории поселения</w:t>
      </w:r>
      <w:r w:rsidRPr="0020170A">
        <w:t>,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водоохранными,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 отдельных вопросах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хозяйств предприятий,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2" w:name="_Toc406701122"/>
      <w:bookmarkStart w:id="3" w:name="_Toc414995022"/>
      <w:bookmarkStart w:id="4" w:name="_Toc414996769"/>
      <w:bookmarkStart w:id="5" w:name="_Toc414996849"/>
      <w:bookmarkStart w:id="6" w:name="_Toc414997246"/>
      <w:bookmarkStart w:id="7" w:name="_Toc418594741"/>
      <w:r w:rsidR="00C16185" w:rsidRPr="00D14109">
        <w:lastRenderedPageBreak/>
        <w:t>Документы территориального планирования</w:t>
      </w:r>
      <w:bookmarkEnd w:id="2"/>
      <w:bookmarkEnd w:id="3"/>
      <w:bookmarkEnd w:id="4"/>
      <w:bookmarkEnd w:id="5"/>
      <w:bookmarkEnd w:id="6"/>
      <w:bookmarkEnd w:id="7"/>
    </w:p>
    <w:p w:rsidR="00C16185" w:rsidRPr="005A2862" w:rsidRDefault="00D14109" w:rsidP="00D14109">
      <w:pPr>
        <w:pStyle w:val="30"/>
        <w:numPr>
          <w:ilvl w:val="0"/>
          <w:numId w:val="0"/>
        </w:numPr>
        <w:rPr>
          <w:highlight w:val="yellow"/>
        </w:rPr>
      </w:pPr>
      <w:r>
        <w:t>1.1.4</w:t>
      </w:r>
      <w:r w:rsidR="00E34155">
        <w:t xml:space="preserve"> </w:t>
      </w:r>
      <w:r w:rsidR="00C16185" w:rsidRPr="00D14109">
        <w:t>К</w:t>
      </w:r>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r w:rsidR="00F37478">
        <w:t>Терезинского</w:t>
      </w:r>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r w:rsidR="00E34155">
        <w:t xml:space="preserve"> </w:t>
      </w:r>
      <w:r w:rsidR="00C16185" w:rsidRPr="0020170A">
        <w:t xml:space="preserve">В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обоснование зон планируемого размещения объектов капитального строительства местного значения;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r w:rsidR="00F37478">
        <w:t>Терезинского</w:t>
      </w:r>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 xml:space="preserve">1.1.7 </w:t>
      </w:r>
      <w:r w:rsidR="00C16185" w:rsidRPr="0020170A">
        <w:t>При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r w:rsidR="00F37478">
        <w:t>Терезинского</w:t>
      </w:r>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га/1000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r w:rsidRPr="0020170A">
              <w:rPr>
                <w:rFonts w:ascii="Times New Roman" w:hAnsi="Times New Roman"/>
                <w:color w:val="auto"/>
                <w:vertAlign w:val="superscript"/>
              </w:rPr>
              <w:t>2</w:t>
            </w:r>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r w:rsidRPr="0020170A">
              <w:rPr>
                <w:rFonts w:ascii="Times New Roman" w:hAnsi="Times New Roman"/>
                <w:color w:val="auto"/>
                <w:vertAlign w:val="superscript"/>
              </w:rPr>
              <w:t>2</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r>
        <w:t>1.1.13.</w:t>
      </w:r>
      <w:r w:rsidR="00C16185" w:rsidRPr="0020170A">
        <w:t>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r>
        <w:t>1.1.15.</w:t>
      </w:r>
      <w:r w:rsidR="00C16185" w:rsidRPr="0020170A">
        <w:t xml:space="preserve">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 настоящими </w:t>
      </w:r>
      <w:r w:rsidR="0020170A" w:rsidRPr="0020170A">
        <w:t>Местными нормативами градостроительного проектирования</w:t>
      </w:r>
      <w:r w:rsidR="0068633A">
        <w:t xml:space="preserve"> </w:t>
      </w:r>
      <w:r w:rsidR="0072548B">
        <w:t xml:space="preserve">  </w:t>
      </w:r>
      <w:r w:rsidR="00F37478">
        <w:t>Терезинского</w:t>
      </w:r>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8" w:name="_Toc406701124"/>
      <w:bookmarkStart w:id="9" w:name="_Toc414995024"/>
      <w:bookmarkStart w:id="10" w:name="_Toc414996771"/>
      <w:bookmarkStart w:id="11" w:name="_Toc414996851"/>
      <w:bookmarkStart w:id="12" w:name="_Toc414997248"/>
      <w:bookmarkStart w:id="13" w:name="_Toc418594742"/>
      <w:r w:rsidRPr="0020170A">
        <w:lastRenderedPageBreak/>
        <w:t>Документация по планировке территории.  Проект планировки</w:t>
      </w:r>
      <w:bookmarkEnd w:id="8"/>
      <w:bookmarkEnd w:id="9"/>
      <w:bookmarkEnd w:id="10"/>
      <w:bookmarkEnd w:id="11"/>
      <w:bookmarkEnd w:id="12"/>
      <w:bookmarkEnd w:id="13"/>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4" w:name="_Toc406701125"/>
      <w:bookmarkStart w:id="15" w:name="_Toc414995025"/>
      <w:bookmarkStart w:id="16" w:name="_Toc414996772"/>
      <w:bookmarkStart w:id="17" w:name="_Toc414996852"/>
      <w:bookmarkStart w:id="18" w:name="_Toc414997249"/>
      <w:bookmarkStart w:id="19" w:name="_Toc418594743"/>
      <w:r w:rsidRPr="0020170A">
        <w:t>Проект межевания</w:t>
      </w:r>
      <w:bookmarkEnd w:id="14"/>
      <w:bookmarkEnd w:id="15"/>
      <w:bookmarkEnd w:id="16"/>
      <w:bookmarkEnd w:id="17"/>
      <w:bookmarkEnd w:id="18"/>
      <w:bookmarkEnd w:id="19"/>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В границы земельного участка как планировочно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20" w:name="_Toc406701126"/>
      <w:bookmarkStart w:id="21" w:name="_Toc414995026"/>
      <w:bookmarkStart w:id="22" w:name="_Toc414996773"/>
      <w:bookmarkStart w:id="23" w:name="_Toc414996853"/>
      <w:bookmarkStart w:id="24" w:name="_Toc414997250"/>
      <w:bookmarkStart w:id="25"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20"/>
      <w:bookmarkEnd w:id="21"/>
      <w:bookmarkEnd w:id="22"/>
      <w:bookmarkEnd w:id="23"/>
      <w:bookmarkEnd w:id="24"/>
      <w:bookmarkEnd w:id="25"/>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объекты и сооружения транспортного обслуживания населения, связи и информации: </w:t>
      </w:r>
      <w:r w:rsidR="00650D9D">
        <w:rPr>
          <w:rFonts w:ascii="Times New Roman" w:hAnsi="Times New Roman"/>
        </w:rPr>
        <w:t xml:space="preserve"> </w:t>
      </w:r>
      <w:r w:rsidRPr="004C40DA">
        <w:rPr>
          <w:rFonts w:ascii="Times New Roman" w:hAnsi="Times New Roman"/>
        </w:rPr>
        <w:t xml:space="preserve"> автовокзалы, другие объекты автомобильного</w:t>
      </w:r>
      <w:r w:rsidR="00650D9D">
        <w:rPr>
          <w:rFonts w:ascii="Times New Roman" w:hAnsi="Times New Roman"/>
        </w:rPr>
        <w:t xml:space="preserve"> </w:t>
      </w:r>
      <w:r w:rsidRPr="004C40DA">
        <w:rPr>
          <w:rFonts w:ascii="Times New Roman" w:hAnsi="Times New Roman"/>
        </w:rPr>
        <w:t xml:space="preserve">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t xml:space="preserve">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w:t>
      </w:r>
      <w:r w:rsidRPr="004C40DA">
        <w:lastRenderedPageBreak/>
        <w:t>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w:t>
      </w:r>
      <w:r w:rsidR="00650D9D">
        <w:t xml:space="preserve"> </w:t>
      </w:r>
      <w:r w:rsidRPr="004C40DA">
        <w:t xml:space="preserve">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6" w:name="_Toc414995027"/>
      <w:bookmarkStart w:id="27" w:name="_Toc414996774"/>
      <w:bookmarkStart w:id="28" w:name="_Toc414996854"/>
      <w:bookmarkStart w:id="29" w:name="_Toc414997251"/>
      <w:bookmarkStart w:id="30" w:name="_Toc414998839"/>
      <w:bookmarkStart w:id="31" w:name="_Toc418594745"/>
      <w:r w:rsidRPr="007A3EEC">
        <w:lastRenderedPageBreak/>
        <w:t>Селитебная территория</w:t>
      </w:r>
      <w:bookmarkEnd w:id="26"/>
      <w:bookmarkEnd w:id="27"/>
      <w:bookmarkEnd w:id="28"/>
      <w:bookmarkEnd w:id="29"/>
      <w:bookmarkEnd w:id="30"/>
      <w:bookmarkEnd w:id="31"/>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2" w:name="_Toc414995028"/>
      <w:bookmarkStart w:id="33" w:name="_Toc414996775"/>
      <w:bookmarkStart w:id="34" w:name="_Toc414996855"/>
      <w:bookmarkStart w:id="35" w:name="_Toc414997252"/>
      <w:bookmarkStart w:id="36" w:name="_Toc414998840"/>
      <w:bookmarkStart w:id="37" w:name="_Toc418594746"/>
      <w:r w:rsidRPr="007A3EEC">
        <w:t>Общие положения</w:t>
      </w:r>
      <w:bookmarkEnd w:id="32"/>
      <w:bookmarkEnd w:id="33"/>
      <w:bookmarkEnd w:id="34"/>
      <w:bookmarkEnd w:id="35"/>
      <w:bookmarkEnd w:id="36"/>
      <w:bookmarkEnd w:id="37"/>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8" w:name="Par374"/>
      <w:bookmarkEnd w:id="38"/>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9" w:name="Par376"/>
            <w:bookmarkEnd w:id="39"/>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Расчетная площадь селитебной территории на одну квартиру, га</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40" w:name="_Toc414995029"/>
      <w:bookmarkStart w:id="41" w:name="_Toc414996776"/>
      <w:bookmarkStart w:id="42" w:name="_Toc414996856"/>
      <w:bookmarkStart w:id="43" w:name="_Toc414997253"/>
      <w:bookmarkStart w:id="44" w:name="_Toc414998841"/>
      <w:bookmarkStart w:id="45" w:name="_Toc418594747"/>
      <w:r w:rsidRPr="00262A6D">
        <w:t>Жилые зоны</w:t>
      </w:r>
      <w:bookmarkEnd w:id="40"/>
      <w:bookmarkEnd w:id="41"/>
      <w:bookmarkEnd w:id="42"/>
      <w:bookmarkEnd w:id="43"/>
      <w:bookmarkEnd w:id="44"/>
      <w:bookmarkEnd w:id="45"/>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мансардный);</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блокированными жилыми домами (не более 3 этажей) с приквартирными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r w:rsidRPr="00262A6D">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кв.м</w:t>
      </w:r>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r w:rsidR="00F37478">
        <w:t>Терезинского</w:t>
      </w:r>
      <w:r w:rsidR="004E1E4F">
        <w:t xml:space="preserve"> </w:t>
      </w:r>
      <w:r w:rsidR="007B3B56">
        <w:t>сельского поселения</w:t>
      </w:r>
      <w:r w:rsidR="007F4245">
        <w:t xml:space="preserve"> </w:t>
      </w:r>
      <w:r w:rsidRPr="00262A6D">
        <w:t>рекомендуется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кв.м.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предпроектных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кв.м. максимальный-3000 кв.м.</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В индивидуальном строительстве основной тип дома – усадебный, 1-2-3-этажный одноквартирный. Возможны блокированные двухквартирные с приквартирными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блокированные и секционные с приквартирными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В районах малоэтажной застройки рекомендуется размещение среднеэтажной (3-4 этажа) секционной и блокированной жилой застройки для создания более компактной и разнообразной жилой среды, сомасштабной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r w:rsidR="00F37478">
        <w:t>Терезинского</w:t>
      </w:r>
      <w:r w:rsidR="009F1D5E">
        <w:t xml:space="preserve"> </w:t>
      </w:r>
      <w:r w:rsidR="001F17FF">
        <w:t>сельского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Для жителей секционных домов дополнительные участки для размещения хозяйственных построек (в т.ч.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Усадебный с приквартирными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К</w:t>
      </w:r>
      <w:r w:rsidRPr="00D71F5E">
        <w:rPr>
          <w:rFonts w:ascii="Times New Roman" w:hAnsi="Times New Roman"/>
          <w:vertAlign w:val="subscript"/>
        </w:rPr>
        <w:t>з</w:t>
      </w:r>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К</w:t>
      </w:r>
      <w:r w:rsidRPr="00D71F5E">
        <w:rPr>
          <w:rFonts w:ascii="Times New Roman" w:hAnsi="Times New Roman"/>
          <w:vertAlign w:val="subscript"/>
        </w:rPr>
        <w:t>пз</w:t>
      </w:r>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6" w:name="Par939"/>
      <w:bookmarkEnd w:id="46"/>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26211B7F" wp14:editId="5F28A416">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352BCEBD" wp14:editId="6CA6EDF7">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5B041D9B" wp14:editId="47F0AD55">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7736708A" wp14:editId="7E885617">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7" w:name="Par964"/>
      <w:bookmarkEnd w:id="47"/>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5"/>
      <w:bookmarkEnd w:id="48"/>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9" w:name="Par966"/>
      <w:bookmarkEnd w:id="49"/>
      <w:r w:rsidRPr="00D71F5E">
        <w:rPr>
          <w:rFonts w:ascii="Times New Roman" w:hAnsi="Times New Roman"/>
        </w:rPr>
        <w:t xml:space="preserve">В - многоквартирная (среднеэтажная) застройка блокированного типа с приквартирными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4F5BA937" wp14:editId="0A777C60">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24EB16BD" wp14:editId="69D41C69">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2. При размерах приквартирных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К</w:t>
      </w:r>
      <w:r w:rsidRPr="00D71F5E">
        <w:rPr>
          <w:rFonts w:ascii="Times New Roman" w:hAnsi="Times New Roman"/>
          <w:vertAlign w:val="subscript"/>
        </w:rPr>
        <w:t>пз</w:t>
      </w:r>
      <w:r w:rsidRPr="00D71F5E">
        <w:rPr>
          <w:rFonts w:ascii="Times New Roman" w:hAnsi="Times New Roman"/>
        </w:rPr>
        <w:t xml:space="preserve"> не должен превышать 1,2. При этом К</w:t>
      </w:r>
      <w:r w:rsidRPr="00D71F5E">
        <w:rPr>
          <w:rFonts w:ascii="Times New Roman" w:hAnsi="Times New Roman"/>
          <w:vertAlign w:val="subscript"/>
        </w:rPr>
        <w:t>з</w:t>
      </w:r>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50" w:name="_Toc414995030"/>
      <w:bookmarkStart w:id="51" w:name="_Toc414996777"/>
      <w:bookmarkStart w:id="52" w:name="_Toc414996857"/>
      <w:bookmarkStart w:id="53" w:name="_Toc414997254"/>
      <w:bookmarkStart w:id="54" w:name="_Toc414998842"/>
      <w:bookmarkStart w:id="55" w:name="_Toc418594748"/>
      <w:r w:rsidRPr="003E096F">
        <w:t>Общественно-деловые зоны</w:t>
      </w:r>
      <w:bookmarkEnd w:id="50"/>
      <w:bookmarkEnd w:id="51"/>
      <w:bookmarkEnd w:id="52"/>
      <w:bookmarkEnd w:id="53"/>
      <w:bookmarkEnd w:id="54"/>
      <w:bookmarkEnd w:id="55"/>
    </w:p>
    <w:p w:rsidR="00A77184" w:rsidRPr="003E096F" w:rsidRDefault="00A77184" w:rsidP="00A77184">
      <w:pPr>
        <w:ind w:firstLine="567"/>
        <w:jc w:val="center"/>
        <w:rPr>
          <w:rFonts w:ascii="Times New Roman" w:hAnsi="Times New Roman"/>
          <w:b/>
          <w:bCs/>
          <w:sz w:val="20"/>
          <w:szCs w:val="20"/>
        </w:rPr>
      </w:pPr>
      <w:bookmarkStart w:id="56"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г.Черкесск</w:t>
            </w:r>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С.Учкекен</w:t>
            </w:r>
            <w:r w:rsidR="00761C77">
              <w:rPr>
                <w:rFonts w:ascii="Times New Roman" w:hAnsi="Times New Roman"/>
                <w:sz w:val="18"/>
                <w:szCs w:val="18"/>
              </w:rPr>
              <w:t xml:space="preserve"> </w:t>
            </w:r>
          </w:p>
        </w:tc>
        <w:tc>
          <w:tcPr>
            <w:tcW w:w="5836" w:type="dxa"/>
            <w:vAlign w:val="center"/>
          </w:tcPr>
          <w:p w:rsidR="0070365B" w:rsidRPr="0070365B" w:rsidRDefault="00761C77" w:rsidP="00934AA5">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0F3265">
              <w:rPr>
                <w:rFonts w:ascii="Times New Roman" w:hAnsi="Times New Roman"/>
                <w:sz w:val="18"/>
                <w:szCs w:val="18"/>
              </w:rPr>
              <w:t>С.Терезе</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машиномест для парковки легковых автомобилей устанавливается в соответствии с </w:t>
      </w:r>
      <w:r w:rsidR="000E6BEE" w:rsidRPr="0070365B">
        <w:t>Нормативными требованиями к расчету количества машино-мест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приобъектной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объекты, допускающие смешанное использование участка, компактное расположение приобъектных площадок и внутриобъектное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Указанные учреждения и предприятия могут иметь центроформирующее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поликлиник, амбулаторий, фельдшерско-акушерских пунктов и аптек - не более 30 минут пешеходно-транспортной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Роспотребнадзора,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7" w:name="_Toc410725225"/>
      <w:r w:rsidRPr="00EE65BA">
        <w:rPr>
          <w:b/>
          <w:szCs w:val="24"/>
        </w:rPr>
        <w:lastRenderedPageBreak/>
        <w:t>Отделения связи</w:t>
      </w:r>
      <w:bookmarkEnd w:id="57"/>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w:t>
      </w:r>
      <w:r w:rsidR="00650D9D">
        <w:rPr>
          <w:rFonts w:ascii="Times New Roman" w:hAnsi="Times New Roman"/>
        </w:rPr>
        <w:t xml:space="preserve"> связи</w:t>
      </w:r>
      <w:r w:rsidRPr="00EE65BA">
        <w:rPr>
          <w:rFonts w:ascii="Times New Roman" w:hAnsi="Times New Roman"/>
        </w:rPr>
        <w:t>,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Блок станция проводного вещания (из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0,05 – 0,1 га на 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1-2 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 xml:space="preserve">Службы районов технической эксплуатации кабельных и </w:t>
            </w:r>
            <w:r w:rsidRPr="00EE65BA">
              <w:lastRenderedPageBreak/>
              <w:t>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lastRenderedPageBreak/>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разветвительные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Охранная зона оголовка веншахты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8" w:name="_Toc414997255"/>
      <w:bookmarkStart w:id="59" w:name="_Toc414998843"/>
      <w:bookmarkStart w:id="60" w:name="_Toc418594749"/>
      <w:r w:rsidRPr="005269C6">
        <w:t>Социальная инфраструктура</w:t>
      </w:r>
      <w:bookmarkEnd w:id="58"/>
      <w:bookmarkEnd w:id="59"/>
      <w:bookmarkEnd w:id="60"/>
    </w:p>
    <w:bookmarkEnd w:id="56"/>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r w:rsidR="00F37478">
        <w:t>Терезинского</w:t>
      </w:r>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эпизодического обслуживания – учреждения и предприятия, посещаемые населением реже одного раза в месяц. Размещаются в областном центре, районных центрах, подцентрах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предпроектных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1" w:name="_Toc414997256"/>
      <w:bookmarkStart w:id="62" w:name="_Toc414998844"/>
      <w:bookmarkStart w:id="63" w:name="_Toc418594750"/>
      <w:r w:rsidRPr="0012266C">
        <w:t>Рекреационные зоны</w:t>
      </w:r>
      <w:bookmarkEnd w:id="61"/>
      <w:bookmarkEnd w:id="62"/>
      <w:bookmarkEnd w:id="63"/>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r w:rsidR="00F37478">
        <w:rPr>
          <w:rFonts w:ascii="Times New Roman" w:hAnsi="Times New Roman"/>
        </w:rPr>
        <w:t>Терезинского</w:t>
      </w:r>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средоохранное и средоформирующее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фунционирования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площадь хозяйственного двора определяется по единовременной нагрузке на парк из расчета 0,2 кв.м.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машино-мест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дорожно-тропиночную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гидроаэромассажные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4"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4"/>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xml:space="preserve">- в жилых районах, на жилых улицах, меж-ду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тепловая сеть (стенка канала, тоннеля или оболочка при бесканальной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Велолыжные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39"/>
      <w:r w:rsidRPr="002B7097">
        <w:rPr>
          <w:rFonts w:ascii="Times New Roman" w:hAnsi="Times New Roman"/>
          <w:b/>
        </w:rPr>
        <w:t>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r w:rsidR="00F37478">
        <w:t>Терезинского</w:t>
      </w:r>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6" w:name="_Toc414995040"/>
      <w:r w:rsidRPr="002B7097">
        <w:rPr>
          <w:rFonts w:ascii="Times New Roman" w:hAnsi="Times New Roman"/>
          <w:b/>
        </w:rPr>
        <w:t>Детские площадки</w:t>
      </w:r>
      <w:bookmarkEnd w:id="66"/>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Детские площадки предназначены для игр и активного отдыха детей разных возрастов: преддошкольного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(микроскалодромы,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Площадки для детей преддошкольного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Детские площадки должны быть озеленены посадками деревьев и кустарника, инсолироваться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7" w:name="_Toc414995041"/>
      <w:r w:rsidRPr="002B7097">
        <w:rPr>
          <w:rFonts w:ascii="Times New Roman" w:hAnsi="Times New Roman"/>
          <w:color w:val="000000"/>
          <w:sz w:val="24"/>
          <w:szCs w:val="24"/>
        </w:rPr>
        <w:t>Площадки отдыха</w:t>
      </w:r>
      <w:bookmarkEnd w:id="67"/>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отстойно-разворотных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периметральное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8" w:name="_Toc414995042"/>
      <w:r w:rsidRPr="002B7097">
        <w:rPr>
          <w:b/>
        </w:rPr>
        <w:t>Спортивные площадки</w:t>
      </w:r>
      <w:bookmarkEnd w:id="68"/>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9" w:name="_Toc414995043"/>
      <w:r w:rsidRPr="002B7097">
        <w:rPr>
          <w:rFonts w:ascii="Times New Roman" w:hAnsi="Times New Roman"/>
          <w:color w:val="000000"/>
          <w:sz w:val="24"/>
          <w:szCs w:val="24"/>
        </w:rPr>
        <w:t>Озеленение</w:t>
      </w:r>
      <w:bookmarkEnd w:id="69"/>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Для оформления мобильного и вертикального озеленения применяются следующие виды устройств: трельяжи, шпалеры, перголы,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r w:rsidRPr="00762947">
        <w:t xml:space="preserve">Шумозащитные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Подкроновое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70" w:name="_Toc406701133"/>
      <w:bookmarkStart w:id="71" w:name="_Toc414995044"/>
      <w:bookmarkStart w:id="72" w:name="_Toc414996781"/>
      <w:bookmarkStart w:id="73" w:name="_Toc414996861"/>
      <w:bookmarkStart w:id="74" w:name="_Toc414997258"/>
      <w:bookmarkStart w:id="75" w:name="_Toc418594751"/>
      <w:r w:rsidRPr="00A50B74">
        <w:lastRenderedPageBreak/>
        <w:t>ПРОИЗВОДСТВЕННЫЕ ЗОНЫ</w:t>
      </w:r>
      <w:bookmarkEnd w:id="70"/>
      <w:bookmarkEnd w:id="71"/>
      <w:bookmarkEnd w:id="72"/>
      <w:bookmarkEnd w:id="73"/>
      <w:bookmarkEnd w:id="74"/>
      <w:bookmarkEnd w:id="75"/>
    </w:p>
    <w:p w:rsidR="00584E77" w:rsidRPr="00A50B74" w:rsidRDefault="00584E77" w:rsidP="00A50B74">
      <w:pPr>
        <w:pStyle w:val="20"/>
        <w:ind w:left="0" w:firstLine="0"/>
        <w:jc w:val="center"/>
      </w:pPr>
      <w:bookmarkStart w:id="76" w:name="_Toc406701134"/>
      <w:bookmarkStart w:id="77" w:name="_Toc414995045"/>
      <w:bookmarkStart w:id="78" w:name="_Toc414996782"/>
      <w:bookmarkStart w:id="79" w:name="_Toc414996862"/>
      <w:bookmarkStart w:id="80" w:name="_Toc414997259"/>
      <w:bookmarkStart w:id="81" w:name="_Toc418594752"/>
      <w:r w:rsidRPr="00A50B74">
        <w:t>Общие положения</w:t>
      </w:r>
      <w:bookmarkEnd w:id="76"/>
      <w:bookmarkEnd w:id="77"/>
      <w:bookmarkEnd w:id="78"/>
      <w:bookmarkEnd w:id="79"/>
      <w:bookmarkEnd w:id="80"/>
      <w:bookmarkEnd w:id="81"/>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w:t>
      </w:r>
      <w:r w:rsidR="00650D9D">
        <w:rPr>
          <w:rFonts w:ascii="Times New Roman" w:hAnsi="Times New Roman"/>
          <w:sz w:val="24"/>
          <w:szCs w:val="24"/>
        </w:rPr>
        <w:t xml:space="preserve"> </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Склады госрезервов,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рассредоточенно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выбросах предприятий, и расчетами уровней физического воздействия. Для предприятий I </w:t>
      </w:r>
      <w:r w:rsidRPr="00A50B74">
        <w:lastRenderedPageBreak/>
        <w:t>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 xml:space="preserve">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непожаро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2" w:name="_Toc406701135"/>
    </w:p>
    <w:p w:rsidR="00584E77" w:rsidRPr="001A53B0" w:rsidRDefault="00584E77" w:rsidP="001A53B0">
      <w:pPr>
        <w:pStyle w:val="20"/>
        <w:ind w:left="0" w:firstLine="0"/>
        <w:jc w:val="center"/>
      </w:pPr>
      <w:bookmarkStart w:id="83" w:name="_Toc414995046"/>
      <w:bookmarkStart w:id="84" w:name="_Toc414996783"/>
      <w:bookmarkStart w:id="85" w:name="_Toc414996863"/>
      <w:bookmarkStart w:id="86" w:name="_Toc414997260"/>
      <w:bookmarkStart w:id="87" w:name="_Toc418594753"/>
      <w:r w:rsidRPr="001A53B0">
        <w:t>Промышленная зона</w:t>
      </w:r>
      <w:bookmarkEnd w:id="82"/>
      <w:bookmarkEnd w:id="83"/>
      <w:bookmarkEnd w:id="84"/>
      <w:bookmarkEnd w:id="85"/>
      <w:bookmarkEnd w:id="86"/>
      <w:bookmarkEnd w:id="87"/>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lastRenderedPageBreak/>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разрешается. Перечень объектов, которые допускается и не допускается размещать в пределах СЗЗ, указан в </w:t>
      </w:r>
      <w:r w:rsidR="00065324" w:rsidRPr="001A53B0">
        <w:t xml:space="preserve">СанПиН 2.2.1/2.1.1.1200-03. Санитарно-защитные зоны и </w:t>
      </w:r>
      <w:r w:rsidR="00065324" w:rsidRPr="001A53B0">
        <w:lastRenderedPageBreak/>
        <w:t>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8" w:name="_Toc406701136"/>
    </w:p>
    <w:p w:rsidR="00584E77" w:rsidRPr="009E14AD" w:rsidRDefault="00584E77" w:rsidP="001A53B0">
      <w:pPr>
        <w:pStyle w:val="20"/>
        <w:ind w:left="0" w:firstLine="0"/>
        <w:jc w:val="center"/>
        <w:rPr>
          <w:color w:val="000000" w:themeColor="text1"/>
        </w:rPr>
      </w:pPr>
      <w:bookmarkStart w:id="89" w:name="_Toc414995047"/>
      <w:bookmarkStart w:id="90" w:name="_Toc414996784"/>
      <w:bookmarkStart w:id="91" w:name="_Toc414996864"/>
      <w:bookmarkStart w:id="92" w:name="_Toc414997261"/>
      <w:bookmarkStart w:id="93" w:name="_Toc418594754"/>
      <w:r w:rsidRPr="009E14AD">
        <w:rPr>
          <w:color w:val="000000" w:themeColor="text1"/>
        </w:rPr>
        <w:t>Коммунально-складская зона</w:t>
      </w:r>
      <w:bookmarkEnd w:id="88"/>
      <w:bookmarkEnd w:id="89"/>
      <w:bookmarkEnd w:id="90"/>
      <w:bookmarkEnd w:id="91"/>
      <w:bookmarkEnd w:id="92"/>
      <w:bookmarkEnd w:id="93"/>
    </w:p>
    <w:p w:rsidR="00584E77" w:rsidRPr="001A53B0" w:rsidRDefault="00584E77" w:rsidP="00E32C51">
      <w:pPr>
        <w:pStyle w:val="30"/>
        <w:numPr>
          <w:ilvl w:val="2"/>
          <w:numId w:val="53"/>
        </w:numPr>
        <w:ind w:left="0" w:firstLine="0"/>
      </w:pPr>
      <w:r w:rsidRPr="001A53B0">
        <w:t>Коммунально-складские зоны формируются из предприятий коммунально-бытового и транспортного обслуживания, общетоварных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м.кв).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4" w:name="_Toc406701137"/>
      <w:bookmarkStart w:id="95" w:name="_Toc414995048"/>
      <w:bookmarkStart w:id="96" w:name="_Toc414996785"/>
      <w:bookmarkStart w:id="97" w:name="_Toc414996865"/>
      <w:bookmarkStart w:id="98" w:name="_Toc414997262"/>
      <w:bookmarkStart w:id="99" w:name="_Toc418594755"/>
      <w:r w:rsidRPr="0012775B">
        <w:t>Производственная зона</w:t>
      </w:r>
      <w:r w:rsidR="009E14AD">
        <w:t>.</w:t>
      </w:r>
      <w:bookmarkEnd w:id="94"/>
      <w:bookmarkEnd w:id="95"/>
      <w:bookmarkEnd w:id="96"/>
      <w:bookmarkEnd w:id="97"/>
      <w:bookmarkEnd w:id="98"/>
      <w:bookmarkEnd w:id="99"/>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lastRenderedPageBreak/>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В связи с территориально-пространственной рассредоточенностью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 xml:space="preserve">Производственные зоны сельских поселений, как правило, не должны быть разделены на обособленные участки </w:t>
      </w:r>
      <w:r w:rsidR="00650D9D">
        <w:t xml:space="preserve"> </w:t>
      </w:r>
      <w:r w:rsidRPr="0012775B">
        <w:t xml:space="preserve">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100" w:name="_Toc406701138"/>
      <w:bookmarkStart w:id="101" w:name="_Toc414995049"/>
      <w:bookmarkStart w:id="102" w:name="_Toc414996786"/>
      <w:bookmarkStart w:id="103" w:name="_Toc414996866"/>
      <w:bookmarkStart w:id="104" w:name="_Toc414997263"/>
      <w:bookmarkStart w:id="105" w:name="_Toc418594756"/>
      <w:r w:rsidRPr="00903C1C">
        <w:t>Иные виды производственных зон</w:t>
      </w:r>
      <w:bookmarkEnd w:id="100"/>
      <w:bookmarkEnd w:id="101"/>
      <w:bookmarkEnd w:id="102"/>
      <w:bookmarkEnd w:id="103"/>
      <w:bookmarkEnd w:id="104"/>
      <w:bookmarkEnd w:id="105"/>
    </w:p>
    <w:p w:rsidR="00222890" w:rsidRPr="005224A4" w:rsidRDefault="00222890" w:rsidP="00222890">
      <w:pPr>
        <w:pStyle w:val="30"/>
        <w:numPr>
          <w:ilvl w:val="2"/>
          <w:numId w:val="36"/>
        </w:numPr>
        <w:ind w:left="0" w:firstLine="0"/>
      </w:pPr>
      <w:r w:rsidRPr="005224A4">
        <w:lastRenderedPageBreak/>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t xml:space="preserve">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w:t>
      </w:r>
      <w:r w:rsidRPr="00024427">
        <w:lastRenderedPageBreak/>
        <w:t>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6" w:name="_Toc414995050"/>
      <w:bookmarkStart w:id="107" w:name="_Toc414996787"/>
      <w:bookmarkStart w:id="108" w:name="_Toc414996867"/>
      <w:bookmarkStart w:id="109" w:name="_Toc414997264"/>
      <w:bookmarkStart w:id="110"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6"/>
      <w:bookmarkEnd w:id="107"/>
      <w:bookmarkEnd w:id="108"/>
      <w:bookmarkEnd w:id="109"/>
      <w:bookmarkEnd w:id="110"/>
    </w:p>
    <w:p w:rsidR="00511CA3" w:rsidRPr="000666BE" w:rsidRDefault="00511CA3" w:rsidP="0012775B">
      <w:pPr>
        <w:pStyle w:val="20"/>
        <w:ind w:left="0" w:firstLine="0"/>
        <w:jc w:val="center"/>
      </w:pPr>
      <w:bookmarkStart w:id="111" w:name="_Toc406701161"/>
      <w:bookmarkStart w:id="112" w:name="_Toc414995051"/>
      <w:bookmarkStart w:id="113" w:name="_Toc414996788"/>
      <w:bookmarkStart w:id="114" w:name="_Toc414996868"/>
      <w:bookmarkStart w:id="115" w:name="_Toc414997265"/>
      <w:bookmarkStart w:id="116" w:name="_Toc418594758"/>
      <w:r w:rsidRPr="000666BE">
        <w:t>Общие положения</w:t>
      </w:r>
      <w:bookmarkEnd w:id="111"/>
      <w:bookmarkEnd w:id="112"/>
      <w:bookmarkEnd w:id="113"/>
      <w:bookmarkEnd w:id="114"/>
      <w:bookmarkEnd w:id="115"/>
      <w:bookmarkEnd w:id="116"/>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шумозащитные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поребрики)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периметральной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км/км.кв.</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Автозаправочные станции для легкового автотранспорта, оборудованные системой закольцовки паров бензина и автогазозаправочные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w:t>
      </w:r>
      <w:r w:rsidR="00650D9D">
        <w:rPr>
          <w:rFonts w:ascii="Times New Roman" w:hAnsi="Times New Roman"/>
          <w:sz w:val="24"/>
          <w:szCs w:val="24"/>
        </w:rPr>
        <w:t>ах производственных предприятий</w:t>
      </w:r>
      <w:r w:rsidRPr="003A1FAD">
        <w:rPr>
          <w:rFonts w:ascii="Times New Roman" w:hAnsi="Times New Roman"/>
          <w:sz w:val="24"/>
          <w:szCs w:val="24"/>
        </w:rPr>
        <w:t>;</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Открытые автостоянки и паркинги вместимостью, машино-мест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Наземные гаражи-стоянки, паркинги, автостоянки вместимостью свыше 500 машино-мест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Площадь участка для стоянки одного автотранспортного средства на автостоянках следует принимать на одно машино-место,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650D9D" w:rsidRPr="00C85381" w:rsidRDefault="00650D9D" w:rsidP="00650D9D">
      <w:pPr>
        <w:pStyle w:val="20"/>
        <w:ind w:left="0" w:firstLine="0"/>
        <w:jc w:val="center"/>
      </w:pPr>
      <w:bookmarkStart w:id="117" w:name="_Toc414995060"/>
      <w:bookmarkStart w:id="118" w:name="_Toc414996789"/>
      <w:bookmarkStart w:id="119" w:name="_Toc414996869"/>
      <w:bookmarkStart w:id="120" w:name="_Toc414997266"/>
      <w:bookmarkStart w:id="121" w:name="_Toc418594759"/>
      <w:r w:rsidRPr="00C85381">
        <w:t>Внешний транспорт</w:t>
      </w:r>
      <w:bookmarkEnd w:id="117"/>
      <w:bookmarkEnd w:id="118"/>
      <w:bookmarkEnd w:id="119"/>
      <w:bookmarkEnd w:id="120"/>
      <w:bookmarkEnd w:id="121"/>
    </w:p>
    <w:p w:rsidR="00650D9D" w:rsidRPr="00C85381" w:rsidRDefault="00650D9D" w:rsidP="00650D9D">
      <w:pPr>
        <w:ind w:firstLine="709"/>
        <w:jc w:val="center"/>
        <w:rPr>
          <w:rFonts w:ascii="Times New Roman" w:hAnsi="Times New Roman"/>
          <w:sz w:val="26"/>
          <w:szCs w:val="26"/>
        </w:rPr>
      </w:pPr>
    </w:p>
    <w:p w:rsidR="00650D9D" w:rsidRPr="00C85381" w:rsidRDefault="00650D9D" w:rsidP="00650D9D">
      <w:pPr>
        <w:pStyle w:val="30"/>
        <w:numPr>
          <w:ilvl w:val="2"/>
          <w:numId w:val="36"/>
        </w:numPr>
        <w:ind w:left="0" w:firstLine="0"/>
      </w:pPr>
      <w:r w:rsidRPr="00C85381">
        <w:t>Внешний транспорт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650D9D" w:rsidRPr="00C85381" w:rsidRDefault="00650D9D" w:rsidP="00650D9D">
      <w:pPr>
        <w:pStyle w:val="30"/>
      </w:pPr>
      <w:r w:rsidRPr="00C85381">
        <w:t xml:space="preserve">Пассажирские вокзалы </w:t>
      </w:r>
      <w:r>
        <w:t xml:space="preserve"> </w:t>
      </w:r>
      <w:r w:rsidRPr="00C85381">
        <w:t>следует проектировать, обеспечивая транспортные связи с центром городског</w:t>
      </w:r>
      <w:r>
        <w:t>о округа, городского поселения</w:t>
      </w:r>
      <w:r w:rsidRPr="00C85381">
        <w:t>, между вокзалами, с жилыми и промышленными районами.</w:t>
      </w:r>
    </w:p>
    <w:p w:rsidR="00650D9D" w:rsidRPr="00C85381" w:rsidRDefault="00650D9D" w:rsidP="00650D9D">
      <w:pPr>
        <w:ind w:firstLine="709"/>
        <w:jc w:val="both"/>
        <w:rPr>
          <w:rFonts w:ascii="Times New Roman" w:hAnsi="Times New Roman"/>
        </w:rPr>
      </w:pPr>
      <w:r w:rsidRPr="00C85381">
        <w:rPr>
          <w:rFonts w:ascii="Times New Roman" w:hAnsi="Times New Roman"/>
        </w:rPr>
        <w:t>По пропускной способности и единовременной вместимости вокзалы классифицируются в соответствии с таблицей  4.2.2.1</w:t>
      </w:r>
    </w:p>
    <w:p w:rsidR="00650D9D" w:rsidRPr="00C85381" w:rsidRDefault="00650D9D" w:rsidP="00650D9D">
      <w:pPr>
        <w:ind w:firstLine="709"/>
        <w:jc w:val="right"/>
        <w:outlineLvl w:val="0"/>
        <w:rPr>
          <w:rFonts w:ascii="Times New Roman" w:hAnsi="Times New Roman"/>
        </w:rPr>
      </w:pPr>
    </w:p>
    <w:p w:rsidR="00650D9D" w:rsidRPr="00C85381" w:rsidRDefault="00650D9D" w:rsidP="00650D9D">
      <w:pPr>
        <w:ind w:firstLine="709"/>
        <w:jc w:val="right"/>
        <w:outlineLvl w:val="0"/>
        <w:rPr>
          <w:rFonts w:ascii="Times New Roman" w:hAnsi="Times New Roman"/>
        </w:rPr>
      </w:pPr>
      <w:bookmarkStart w:id="122" w:name="_Toc414995061"/>
      <w:r w:rsidRPr="00C85381">
        <w:rPr>
          <w:rFonts w:ascii="Times New Roman" w:hAnsi="Times New Roman"/>
        </w:rPr>
        <w:t>Таблица  4.2.2.1.</w:t>
      </w:r>
      <w:bookmarkEnd w:id="122"/>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7229"/>
      </w:tblGrid>
      <w:tr w:rsidR="00650D9D" w:rsidRPr="00C85381" w:rsidTr="00B41599">
        <w:trPr>
          <w:trHeight w:val="550"/>
        </w:trPr>
        <w:tc>
          <w:tcPr>
            <w:tcW w:w="2626" w:type="dxa"/>
            <w:vMerge w:val="restart"/>
            <w:vAlign w:val="center"/>
          </w:tcPr>
          <w:p w:rsidR="00650D9D" w:rsidRPr="00C85381" w:rsidRDefault="00650D9D" w:rsidP="00B41599">
            <w:pPr>
              <w:ind w:left="-57" w:right="-57"/>
              <w:jc w:val="center"/>
              <w:rPr>
                <w:rFonts w:ascii="Times New Roman" w:hAnsi="Times New Roman"/>
              </w:rPr>
            </w:pPr>
            <w:r w:rsidRPr="00C85381">
              <w:rPr>
                <w:rFonts w:ascii="Times New Roman" w:hAnsi="Times New Roman"/>
              </w:rPr>
              <w:t>Вокзалы</w:t>
            </w:r>
          </w:p>
        </w:tc>
        <w:tc>
          <w:tcPr>
            <w:tcW w:w="7229" w:type="dxa"/>
            <w:vAlign w:val="center"/>
          </w:tcPr>
          <w:p w:rsidR="00650D9D" w:rsidRPr="00C85381" w:rsidRDefault="00650D9D" w:rsidP="00B41599">
            <w:pPr>
              <w:ind w:left="-57" w:right="-57"/>
              <w:jc w:val="center"/>
              <w:rPr>
                <w:rFonts w:ascii="Times New Roman" w:hAnsi="Times New Roman"/>
              </w:rPr>
            </w:pPr>
            <w:r>
              <w:rPr>
                <w:rFonts w:ascii="Times New Roman" w:hAnsi="Times New Roman"/>
              </w:rPr>
              <w:t xml:space="preserve"> </w:t>
            </w:r>
            <w:r w:rsidRPr="00C85381">
              <w:rPr>
                <w:rFonts w:ascii="Times New Roman" w:hAnsi="Times New Roman"/>
              </w:rPr>
              <w:t>Автобусные</w:t>
            </w:r>
          </w:p>
        </w:tc>
      </w:tr>
      <w:tr w:rsidR="00650D9D" w:rsidRPr="00C85381" w:rsidTr="00B41599">
        <w:tc>
          <w:tcPr>
            <w:tcW w:w="2626" w:type="dxa"/>
            <w:vMerge/>
          </w:tcPr>
          <w:p w:rsidR="00650D9D" w:rsidRPr="00C85381" w:rsidRDefault="00650D9D" w:rsidP="00B41599">
            <w:pPr>
              <w:jc w:val="both"/>
              <w:rPr>
                <w:rFonts w:ascii="Times New Roman" w:hAnsi="Times New Roman"/>
              </w:rPr>
            </w:pPr>
          </w:p>
        </w:tc>
        <w:tc>
          <w:tcPr>
            <w:tcW w:w="7229" w:type="dxa"/>
            <w:vAlign w:val="center"/>
          </w:tcPr>
          <w:p w:rsidR="00650D9D" w:rsidRPr="00C85381" w:rsidRDefault="00650D9D" w:rsidP="00B41599">
            <w:pPr>
              <w:rPr>
                <w:rFonts w:ascii="Times New Roman" w:hAnsi="Times New Roman"/>
              </w:rPr>
            </w:pPr>
            <w:r w:rsidRPr="00C85381">
              <w:rPr>
                <w:rFonts w:ascii="Times New Roman" w:hAnsi="Times New Roman"/>
              </w:rPr>
              <w:t>Расчетная вместимость зданий, пас.</w:t>
            </w:r>
          </w:p>
        </w:tc>
      </w:tr>
      <w:tr w:rsidR="00650D9D" w:rsidRPr="00C85381" w:rsidTr="00B41599">
        <w:tc>
          <w:tcPr>
            <w:tcW w:w="2626" w:type="dxa"/>
          </w:tcPr>
          <w:p w:rsidR="00650D9D" w:rsidRPr="00C85381" w:rsidRDefault="00650D9D" w:rsidP="00B41599">
            <w:pPr>
              <w:jc w:val="both"/>
              <w:rPr>
                <w:rFonts w:ascii="Times New Roman" w:hAnsi="Times New Roman"/>
              </w:rPr>
            </w:pPr>
            <w:r w:rsidRPr="00C85381">
              <w:rPr>
                <w:rFonts w:ascii="Times New Roman" w:hAnsi="Times New Roman"/>
              </w:rPr>
              <w:t xml:space="preserve">Малые </w:t>
            </w:r>
          </w:p>
        </w:tc>
        <w:tc>
          <w:tcPr>
            <w:tcW w:w="7229" w:type="dxa"/>
            <w:vAlign w:val="center"/>
          </w:tcPr>
          <w:p w:rsidR="00650D9D" w:rsidRPr="00C85381" w:rsidRDefault="00650D9D" w:rsidP="00B41599">
            <w:pPr>
              <w:jc w:val="center"/>
              <w:rPr>
                <w:rFonts w:ascii="Times New Roman" w:hAnsi="Times New Roman"/>
              </w:rPr>
            </w:pPr>
            <w:r w:rsidRPr="00C85381">
              <w:rPr>
                <w:rFonts w:ascii="Times New Roman" w:hAnsi="Times New Roman"/>
              </w:rPr>
              <w:t>до 200</w:t>
            </w:r>
          </w:p>
        </w:tc>
      </w:tr>
      <w:tr w:rsidR="00650D9D" w:rsidRPr="00C85381" w:rsidTr="00B41599">
        <w:tc>
          <w:tcPr>
            <w:tcW w:w="2626" w:type="dxa"/>
          </w:tcPr>
          <w:p w:rsidR="00650D9D" w:rsidRPr="00C85381" w:rsidRDefault="00650D9D" w:rsidP="00B41599">
            <w:pPr>
              <w:jc w:val="both"/>
              <w:rPr>
                <w:rFonts w:ascii="Times New Roman" w:hAnsi="Times New Roman"/>
              </w:rPr>
            </w:pPr>
            <w:r w:rsidRPr="00C85381">
              <w:rPr>
                <w:rFonts w:ascii="Times New Roman" w:hAnsi="Times New Roman"/>
              </w:rPr>
              <w:t>Средние</w:t>
            </w:r>
          </w:p>
        </w:tc>
        <w:tc>
          <w:tcPr>
            <w:tcW w:w="7229" w:type="dxa"/>
            <w:vAlign w:val="center"/>
          </w:tcPr>
          <w:p w:rsidR="00650D9D" w:rsidRPr="00C85381" w:rsidRDefault="00650D9D" w:rsidP="00B41599">
            <w:pPr>
              <w:ind w:left="-57" w:right="-57"/>
              <w:jc w:val="center"/>
              <w:rPr>
                <w:rFonts w:ascii="Times New Roman" w:hAnsi="Times New Roman"/>
              </w:rPr>
            </w:pPr>
            <w:r w:rsidRPr="00C85381">
              <w:rPr>
                <w:rFonts w:ascii="Times New Roman" w:hAnsi="Times New Roman"/>
              </w:rPr>
              <w:t xml:space="preserve">св. 200 </w:t>
            </w:r>
          </w:p>
          <w:p w:rsidR="00650D9D" w:rsidRPr="00C85381" w:rsidRDefault="00650D9D" w:rsidP="00B41599">
            <w:pPr>
              <w:ind w:left="-57" w:right="-57"/>
              <w:jc w:val="center"/>
              <w:rPr>
                <w:rFonts w:ascii="Times New Roman" w:hAnsi="Times New Roman"/>
              </w:rPr>
            </w:pPr>
            <w:r w:rsidRPr="00C85381">
              <w:rPr>
                <w:rFonts w:ascii="Times New Roman" w:hAnsi="Times New Roman"/>
              </w:rPr>
              <w:t>до 300</w:t>
            </w:r>
          </w:p>
        </w:tc>
      </w:tr>
    </w:tbl>
    <w:p w:rsidR="00650D9D" w:rsidRPr="00C85381" w:rsidRDefault="00650D9D" w:rsidP="00650D9D">
      <w:pPr>
        <w:ind w:firstLine="709"/>
        <w:jc w:val="both"/>
        <w:rPr>
          <w:rFonts w:ascii="Times New Roman" w:hAnsi="Times New Roman"/>
        </w:rPr>
      </w:pPr>
    </w:p>
    <w:p w:rsidR="00650D9D" w:rsidRPr="00C85381" w:rsidRDefault="00650D9D" w:rsidP="00650D9D">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650D9D" w:rsidRPr="00C85381" w:rsidRDefault="00650D9D" w:rsidP="00650D9D">
      <w:pPr>
        <w:pStyle w:val="30"/>
        <w:rPr>
          <w:szCs w:val="24"/>
        </w:rPr>
      </w:pPr>
      <w:r w:rsidRPr="00C85381">
        <w:rPr>
          <w:szCs w:val="24"/>
        </w:rPr>
        <w:t xml:space="preserve">Вокзалы следует проектировать на основе единого технологического и градостроительно-планировочного решения всего вокзального комплекса </w:t>
      </w:r>
      <w:r>
        <w:rPr>
          <w:szCs w:val="24"/>
        </w:rPr>
        <w:t xml:space="preserve"> </w:t>
      </w:r>
      <w:r w:rsidRPr="00C85381">
        <w:rPr>
          <w:szCs w:val="24"/>
        </w:rPr>
        <w:t xml:space="preserve"> в состав которого входят следующие взаимоувязанные элементы:</w:t>
      </w:r>
    </w:p>
    <w:p w:rsidR="00650D9D" w:rsidRPr="00C85381" w:rsidRDefault="00650D9D" w:rsidP="00650D9D">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650D9D" w:rsidRPr="00C85381" w:rsidRDefault="00650D9D" w:rsidP="00650D9D">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w:t>
      </w:r>
      <w:r>
        <w:rPr>
          <w:rFonts w:ascii="Times New Roman" w:hAnsi="Times New Roman"/>
          <w:sz w:val="24"/>
          <w:szCs w:val="24"/>
        </w:rPr>
        <w:t>могательные здания и сооружения.</w:t>
      </w:r>
    </w:p>
    <w:p w:rsidR="00650D9D" w:rsidRPr="00C85381" w:rsidRDefault="00650D9D" w:rsidP="00650D9D">
      <w:pPr>
        <w:pStyle w:val="af2"/>
        <w:spacing w:after="0"/>
        <w:ind w:left="567"/>
        <w:jc w:val="both"/>
        <w:rPr>
          <w:rFonts w:ascii="Times New Roman" w:hAnsi="Times New Roman"/>
          <w:sz w:val="24"/>
          <w:szCs w:val="24"/>
        </w:rPr>
      </w:pPr>
    </w:p>
    <w:p w:rsidR="00650D9D" w:rsidRPr="00C85381" w:rsidRDefault="00650D9D" w:rsidP="00650D9D">
      <w:pPr>
        <w:jc w:val="both"/>
        <w:rPr>
          <w:rFonts w:ascii="Times New Roman" w:hAnsi="Times New Roman"/>
        </w:rPr>
      </w:pPr>
      <w:r w:rsidRPr="00C85381">
        <w:rPr>
          <w:rFonts w:ascii="Times New Roman" w:hAnsi="Times New Roman"/>
        </w:rPr>
        <w:lastRenderedPageBreak/>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p>
    <w:p w:rsidR="00650D9D" w:rsidRPr="00C85381" w:rsidRDefault="00650D9D" w:rsidP="00650D9D">
      <w:pPr>
        <w:pStyle w:val="30"/>
        <w:rPr>
          <w:szCs w:val="24"/>
        </w:rPr>
      </w:pPr>
      <w:r w:rsidRPr="00C85381">
        <w:rPr>
          <w:szCs w:val="24"/>
        </w:rPr>
        <w:t xml:space="preserve">Участок для строительства </w:t>
      </w:r>
      <w:r>
        <w:rPr>
          <w:szCs w:val="24"/>
        </w:rPr>
        <w:t xml:space="preserve"> </w:t>
      </w:r>
      <w:r w:rsidRPr="00C85381">
        <w:rPr>
          <w:szCs w:val="24"/>
        </w:rPr>
        <w:t xml:space="preserve"> автобусного вокзала следует выбирать со стороны наиболее крупных застроенных районов с обеспечением относительной равноудаленности его по отношению к основным функциональным зонам.</w:t>
      </w:r>
    </w:p>
    <w:p w:rsidR="00650D9D" w:rsidRPr="00C85381" w:rsidRDefault="00650D9D" w:rsidP="00650D9D">
      <w:pPr>
        <w:ind w:firstLine="709"/>
        <w:jc w:val="both"/>
        <w:rPr>
          <w:rFonts w:ascii="Times New Roman" w:hAnsi="Times New Roman"/>
        </w:rPr>
      </w:pPr>
      <w:r w:rsidRPr="00C85381">
        <w:rPr>
          <w:rFonts w:ascii="Times New Roman" w:hAnsi="Times New Roman"/>
        </w:rPr>
        <w:t xml:space="preserve">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w:t>
      </w:r>
      <w:r>
        <w:rPr>
          <w:rFonts w:ascii="Times New Roman" w:hAnsi="Times New Roman"/>
        </w:rPr>
        <w:t xml:space="preserve"> </w:t>
      </w:r>
      <w:r w:rsidRPr="00C85381">
        <w:rPr>
          <w:rFonts w:ascii="Times New Roman" w:hAnsi="Times New Roman"/>
        </w:rPr>
        <w:t>учетом возможности их перспективного развития и расширения в соответствии с заданием на проектирование.</w:t>
      </w:r>
    </w:p>
    <w:p w:rsidR="00650D9D" w:rsidRPr="00C85381" w:rsidRDefault="00650D9D" w:rsidP="00650D9D">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650D9D" w:rsidRPr="00C85381" w:rsidRDefault="00650D9D" w:rsidP="00650D9D">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650D9D" w:rsidRPr="00C85381" w:rsidRDefault="00650D9D" w:rsidP="00650D9D">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3" w:name="_Toc414995065"/>
      <w:bookmarkStart w:id="124" w:name="_Toc414996792"/>
      <w:bookmarkStart w:id="125" w:name="_Toc414996872"/>
      <w:bookmarkStart w:id="126" w:name="_Toc414997269"/>
      <w:bookmarkStart w:id="127" w:name="_Toc418594762"/>
      <w:r w:rsidRPr="0004614D">
        <w:t>Автомобильные дороги</w:t>
      </w:r>
      <w:bookmarkEnd w:id="123"/>
      <w:bookmarkEnd w:id="124"/>
      <w:bookmarkEnd w:id="125"/>
      <w:bookmarkEnd w:id="126"/>
      <w:bookmarkEnd w:id="127"/>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r>
      <w:r w:rsidRPr="0004614D">
        <w:rPr>
          <w:rFonts w:ascii="Times New Roman" w:hAnsi="Times New Roman"/>
        </w:rPr>
        <w:lastRenderedPageBreak/>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28" w:name="sub_120"/>
      <w:r w:rsidRPr="0004614D">
        <w:t xml:space="preserve">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w:t>
      </w:r>
      <w:r w:rsidR="00650D9D">
        <w:t xml:space="preserve"> </w:t>
      </w:r>
      <w:r w:rsidRPr="0004614D">
        <w:t xml:space="preserve"> рассчитываемые на пропуск автотранспортных средств, допускаемых для обращения на дорогах общего пользования.</w:t>
      </w:r>
      <w:bookmarkStart w:id="129" w:name="sub_10015"/>
      <w:bookmarkEnd w:id="128"/>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0" w:name="_Toc414995066"/>
      <w:r w:rsidRPr="0004614D">
        <w:rPr>
          <w:rFonts w:ascii="Times New Roman" w:hAnsi="Times New Roman"/>
        </w:rPr>
        <w:t xml:space="preserve">Таблица </w:t>
      </w:r>
      <w:r w:rsidR="00F115D5" w:rsidRPr="0004614D">
        <w:rPr>
          <w:rFonts w:ascii="Times New Roman" w:hAnsi="Times New Roman"/>
        </w:rPr>
        <w:t>4.5.2.1</w:t>
      </w:r>
      <w:bookmarkEnd w:id="130"/>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Прочие федеральные дороги (для связи между собой столиц республик в составе РФ, административных центров краев и 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29"/>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1" w:name="_Toc414995067"/>
      <w:r w:rsidRPr="0004614D">
        <w:rPr>
          <w:rStyle w:val="affffffffa"/>
          <w:rFonts w:ascii="Times New Roman" w:hAnsi="Times New Roman"/>
          <w:b w:val="0"/>
          <w:i/>
          <w:color w:val="auto"/>
        </w:rPr>
        <w:t>Примечания:</w:t>
      </w:r>
      <w:bookmarkEnd w:id="131"/>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2" w:name="sub_17"/>
      <w:r w:rsidRPr="0004614D">
        <w:t xml:space="preserve">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w:t>
      </w:r>
      <w:r w:rsidRPr="0004614D">
        <w:lastRenderedPageBreak/>
        <w:t>его очередью полной проектной мощности, с учетом объема перевозок в период строительства предприятия.</w:t>
      </w:r>
    </w:p>
    <w:bookmarkEnd w:id="132"/>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3"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4" w:name="sub_19"/>
      <w:bookmarkEnd w:id="133"/>
      <w:r w:rsidRPr="0004614D">
        <w:t>Принимаемые в проектах основные технические решения по проложению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5" w:name="sub_1110"/>
      <w:bookmarkEnd w:id="134"/>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5"/>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36"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36"/>
    <w:p w:rsidR="00511CA3" w:rsidRPr="0004614D" w:rsidRDefault="00511CA3" w:rsidP="00F115D5">
      <w:pPr>
        <w:pStyle w:val="30"/>
      </w:pPr>
      <w:r w:rsidRPr="0004614D">
        <w:t xml:space="preserve">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w:t>
      </w:r>
      <w:r w:rsidRPr="0004614D">
        <w:lastRenderedPageBreak/>
        <w:t>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r w:rsidRPr="0004614D">
        <w:t>Проложение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t>Не допускается проложение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защитности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массивам по возможности должно совпадать с направлением господствующих ветров в целях обеспечения естественного проветривания и уменьшения заносимости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оглеения,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w:t>
      </w:r>
      <w:r w:rsidR="00023957" w:rsidRPr="0004614D">
        <w:lastRenderedPageBreak/>
        <w:t>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На дорогах в пределах водоохранных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При обходе населенных пунктов автомобильные дороги повозможности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В случаях, когда при проложении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шумозащитные мероприятия (проложение дорог в выемках, строительство шумозащитных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t>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неудобья с последующим уплотнением и планировкой поверхности.</w:t>
      </w:r>
    </w:p>
    <w:p w:rsidR="00511CA3" w:rsidRPr="0004614D" w:rsidRDefault="00511CA3" w:rsidP="00F115D5">
      <w:pPr>
        <w:pStyle w:val="30"/>
      </w:pPr>
      <w:r w:rsidRPr="0004614D">
        <w:t xml:space="preserve">При проложении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При определении мест переходов через водотоки, выборе конструкций и отверстий искусственных сооружений, особенно на косогорных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золошлаковые смеси ТЭС, отходы углеобогащения, фосфоритные "хвосты", белитовые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 xml:space="preserve">При проектировании производственных баз, зданий и сооружений дорожной и автотранспортной служб необходимо разрабатывать мероприятия, обеспечивающие </w:t>
      </w:r>
      <w:r w:rsidRPr="0004614D">
        <w:lastRenderedPageBreak/>
        <w:t>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37" w:name="_Toc414995068"/>
      <w:r w:rsidRPr="0004614D">
        <w:rPr>
          <w:rStyle w:val="affffffffa"/>
          <w:rFonts w:ascii="Times New Roman" w:hAnsi="Times New Roman"/>
          <w:b w:val="0"/>
          <w:i/>
          <w:color w:val="auto"/>
        </w:rPr>
        <w:t>Примечание.</w:t>
      </w:r>
      <w:bookmarkEnd w:id="137"/>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38" w:name="_Toc414995069"/>
      <w:bookmarkStart w:id="139" w:name="sub_40101"/>
      <w:r w:rsidRPr="0004614D">
        <w:rPr>
          <w:rStyle w:val="affffffffa"/>
          <w:rFonts w:ascii="Times New Roman" w:hAnsi="Times New Roman"/>
          <w:b w:val="0"/>
          <w:i/>
          <w:color w:val="auto"/>
        </w:rPr>
        <w:t>Примечание:</w:t>
      </w:r>
      <w:bookmarkEnd w:id="138"/>
    </w:p>
    <w:p w:rsidR="00511CA3" w:rsidRPr="0004614D" w:rsidRDefault="00511CA3" w:rsidP="00511CA3">
      <w:pPr>
        <w:jc w:val="both"/>
        <w:rPr>
          <w:rFonts w:ascii="Times New Roman" w:hAnsi="Times New Roman"/>
        </w:rPr>
      </w:pPr>
      <w:bookmarkStart w:id="140" w:name="sub_40102"/>
      <w:bookmarkEnd w:id="139"/>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1" w:name="sub_42"/>
      <w:bookmarkEnd w:id="140"/>
    </w:p>
    <w:bookmarkEnd w:id="141"/>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2"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t>Обочины по своей прочности должны допускать выезд на них транспортных средств.</w:t>
      </w:r>
    </w:p>
    <w:bookmarkEnd w:id="142"/>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 xml:space="preserve">Наименьшая ширина </w:t>
            </w:r>
            <w:r w:rsidRPr="0004614D">
              <w:rPr>
                <w:rFonts w:ascii="Times New Roman" w:hAnsi="Times New Roman"/>
              </w:rPr>
              <w:lastRenderedPageBreak/>
              <w:t>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lastRenderedPageBreak/>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3" w:name="_Toc414995070"/>
      <w:r w:rsidRPr="0004614D">
        <w:rPr>
          <w:rStyle w:val="affffffffa"/>
          <w:rFonts w:ascii="Times New Roman" w:hAnsi="Times New Roman"/>
          <w:b w:val="0"/>
          <w:i/>
          <w:color w:val="auto"/>
        </w:rPr>
        <w:t>Примечание:</w:t>
      </w:r>
      <w:bookmarkEnd w:id="143"/>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четырехполосной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4"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4"/>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Интенсивность движения, прив. ед/сут</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r w:rsidRPr="0004614D">
              <w:rPr>
                <w:rFonts w:ascii="Times New Roman" w:hAnsi="Times New Roman"/>
              </w:rPr>
              <w:t>св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r w:rsidRPr="0004614D">
              <w:rPr>
                <w:rFonts w:ascii="Times New Roman" w:hAnsi="Times New Roman"/>
              </w:rPr>
              <w:t>св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5"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5"/>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46"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w:t>
      </w:r>
      <w:r w:rsidRPr="0004614D">
        <w:rPr>
          <w:szCs w:val="24"/>
        </w:rPr>
        <w:lastRenderedPageBreak/>
        <w:t xml:space="preserve">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46"/>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47"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47"/>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48" w:name="_Toc414995071"/>
      <w:r w:rsidRPr="0004614D">
        <w:rPr>
          <w:rStyle w:val="affffffffa"/>
          <w:rFonts w:ascii="Times New Roman" w:hAnsi="Times New Roman"/>
          <w:b w:val="0"/>
          <w:i/>
          <w:color w:val="auto"/>
        </w:rPr>
        <w:t>Примечание.</w:t>
      </w:r>
      <w:bookmarkEnd w:id="148"/>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49"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49"/>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50-60 - при укреплении дернованием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Для районов с небольшой продолжительностью снегового покрова и отсутствием гололеда для обочин, укрепленных дернованием, может быть допущен уклон 50-80‰.</w:t>
      </w:r>
    </w:p>
    <w:p w:rsidR="00511CA3" w:rsidRPr="0004614D" w:rsidRDefault="00511CA3" w:rsidP="00953590">
      <w:pPr>
        <w:ind w:firstLine="709"/>
        <w:jc w:val="both"/>
        <w:rPr>
          <w:rFonts w:ascii="Times New Roman" w:hAnsi="Times New Roman"/>
        </w:rPr>
      </w:pPr>
      <w:r w:rsidRPr="0004614D">
        <w:rPr>
          <w:rStyle w:val="affffffffa"/>
          <w:rFonts w:ascii="Times New Roman" w:hAnsi="Times New Roman"/>
          <w:b w:val="0"/>
          <w:i/>
          <w:color w:val="auto"/>
        </w:rPr>
        <w:t>Примечание.</w:t>
      </w:r>
      <w:r w:rsidRPr="0004614D">
        <w:rPr>
          <w:rFonts w:ascii="Times New Roman" w:hAnsi="Times New Roman"/>
        </w:rPr>
        <w:t>При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0" w:name="sub_417"/>
      <w:r w:rsidRPr="0004614D">
        <w:rPr>
          <w:szCs w:val="24"/>
        </w:rPr>
        <w:lastRenderedPageBreak/>
        <w:t xml:space="preserve">Поперечные уклоны проезжей части на виражах следует назначать в зависимости от радиусов кривых в плане по таблице </w:t>
      </w:r>
      <w:bookmarkEnd w:id="150"/>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1" w:name="_Toc414995072"/>
      <w:r w:rsidRPr="0004614D">
        <w:rPr>
          <w:rStyle w:val="affffffffa"/>
          <w:rFonts w:ascii="Times New Roman" w:hAnsi="Times New Roman"/>
          <w:b w:val="0"/>
          <w:i/>
          <w:color w:val="auto"/>
        </w:rPr>
        <w:t>Примечание.</w:t>
      </w:r>
      <w:bookmarkEnd w:id="151"/>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2"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3" w:name="sub_41802"/>
      <w:bookmarkEnd w:id="152"/>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3"/>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lastRenderedPageBreak/>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4"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4"/>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двухполосной проезжей части дорог на закруглениях следует принимать по таблице </w:t>
      </w:r>
      <w:r w:rsidR="001C0994" w:rsidRPr="0004614D">
        <w:rPr>
          <w:rFonts w:ascii="Times New Roman" w:hAnsi="Times New Roman"/>
        </w:rPr>
        <w:t>4.5.39.1.</w:t>
      </w:r>
      <w:bookmarkStart w:id="155" w:name="sub_1009"/>
    </w:p>
    <w:p w:rsidR="00511CA3" w:rsidRPr="0004614D" w:rsidRDefault="00511CA3" w:rsidP="00511CA3">
      <w:pPr>
        <w:ind w:firstLine="709"/>
        <w:jc w:val="both"/>
        <w:rPr>
          <w:rFonts w:ascii="Times New Roman" w:hAnsi="Times New Roman"/>
        </w:rPr>
      </w:pPr>
      <w:r w:rsidRPr="0004614D">
        <w:rPr>
          <w:rFonts w:ascii="Times New Roman" w:hAnsi="Times New Roman"/>
        </w:rPr>
        <w:t>При недостаточной ширине обочин для размещения уширений проезжей части с соблюдением этих условий следует предусматривать соответствующее уширение 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Целесообразность применения кривых с уширениями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уширений.</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5"/>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lastRenderedPageBreak/>
        <w:t>Принимаемые в проектах основные технические решения по проложению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56"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56"/>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lastRenderedPageBreak/>
              <w:t>скорость,</w:t>
            </w:r>
          </w:p>
          <w:p w:rsidR="00511CA3" w:rsidRPr="0004614D" w:rsidRDefault="00511CA3" w:rsidP="00702518">
            <w:pPr>
              <w:jc w:val="center"/>
              <w:rPr>
                <w:rFonts w:ascii="Times New Roman" w:hAnsi="Times New Roman"/>
              </w:rPr>
            </w:pPr>
            <w:r w:rsidRPr="0004614D">
              <w:rPr>
                <w:rFonts w:ascii="Times New Roman" w:hAnsi="Times New Roman"/>
              </w:rPr>
              <w:t>км∕ч</w:t>
            </w: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lastRenderedPageBreak/>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Наименьшие </w:t>
            </w:r>
            <w:r w:rsidRPr="0004614D">
              <w:rPr>
                <w:rFonts w:ascii="Times New Roman" w:hAnsi="Times New Roman"/>
              </w:rPr>
              <w:lastRenderedPageBreak/>
              <w:t>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57" w:name="_Toc414995073"/>
      <w:r w:rsidRPr="0004614D">
        <w:rPr>
          <w:rFonts w:ascii="Times New Roman" w:hAnsi="Times New Roman"/>
        </w:rPr>
        <w:t xml:space="preserve">Таблица  </w:t>
      </w:r>
      <w:r w:rsidR="007C704C" w:rsidRPr="0004614D">
        <w:rPr>
          <w:rFonts w:ascii="Times New Roman" w:hAnsi="Times New Roman"/>
        </w:rPr>
        <w:t>4.5.45.1.</w:t>
      </w:r>
      <w:bookmarkEnd w:id="157"/>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lastRenderedPageBreak/>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основные секторальные непрерывного и регули-руемого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основные зональные непрерывного и регули-руемого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 xml:space="preserve">Для автомагистралей, </w:t>
      </w:r>
      <w:r w:rsidR="00650D9D">
        <w:t xml:space="preserve"> </w:t>
      </w:r>
      <w:r w:rsidRPr="0004614D">
        <w:t xml:space="preserve">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проложения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w:t>
      </w:r>
      <w:r w:rsidRPr="0004614D">
        <w:rPr>
          <w:rFonts w:ascii="Times New Roman" w:hAnsi="Times New Roman"/>
        </w:rPr>
        <w:lastRenderedPageBreak/>
        <w:t xml:space="preserve">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58" w:name="sub_11011"/>
      <w:r w:rsidRPr="0004614D">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58"/>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ед/сут,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59" w:name="sub_11016"/>
    </w:p>
    <w:p w:rsidR="00511CA3" w:rsidRPr="0004614D" w:rsidRDefault="00511CA3" w:rsidP="007C704C">
      <w:pPr>
        <w:pStyle w:val="30"/>
      </w:pPr>
      <w:bookmarkStart w:id="160" w:name="sub_11017"/>
      <w:bookmarkEnd w:id="159"/>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0"/>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1" w:name="_Toc414995079"/>
      <w:bookmarkStart w:id="162" w:name="_Toc414996794"/>
      <w:bookmarkStart w:id="163" w:name="_Toc414996874"/>
      <w:bookmarkStart w:id="164" w:name="_Toc414997271"/>
      <w:bookmarkStart w:id="165" w:name="_Toc418594764"/>
      <w:r w:rsidRPr="00335B1B">
        <w:t>Сеть улиц и дорог</w:t>
      </w:r>
      <w:bookmarkEnd w:id="161"/>
      <w:bookmarkEnd w:id="162"/>
      <w:bookmarkEnd w:id="163"/>
      <w:bookmarkEnd w:id="164"/>
      <w:bookmarkEnd w:id="165"/>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r w:rsidR="00F37478">
        <w:t>Терезинского</w:t>
      </w:r>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66" w:name="_Toc414995080"/>
      <w:r w:rsidRPr="00335B1B">
        <w:rPr>
          <w:rFonts w:ascii="Times New Roman" w:hAnsi="Times New Roman"/>
        </w:rPr>
        <w:t xml:space="preserve">Таблица </w:t>
      </w:r>
      <w:r w:rsidR="00C54E76" w:rsidRPr="00335B1B">
        <w:rPr>
          <w:rFonts w:ascii="Times New Roman" w:hAnsi="Times New Roman"/>
        </w:rPr>
        <w:t>4.7.1.1.</w:t>
      </w:r>
      <w:bookmarkEnd w:id="16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lastRenderedPageBreak/>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Транспортная связь между жилыми, производственными зонами и общественными центрами в крупнейших, 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пешеходно-транспортные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улицы и дороги в производ-ственных, в том числе ком-мунально-складских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lastRenderedPageBreak/>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пешеходно-транспортных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автобусно-пешеходного движений.</w:t>
      </w:r>
    </w:p>
    <w:p w:rsidR="00511CA3" w:rsidRPr="00335B1B" w:rsidRDefault="00511CA3" w:rsidP="00C54E76">
      <w:pPr>
        <w:pStyle w:val="30"/>
      </w:pPr>
      <w:r w:rsidRPr="00335B1B">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67" w:name="_Toc414995081"/>
      <w:r w:rsidRPr="00335B1B">
        <w:rPr>
          <w:rFonts w:ascii="Times New Roman" w:hAnsi="Times New Roman"/>
        </w:rPr>
        <w:t xml:space="preserve">Таблица </w:t>
      </w:r>
      <w:r w:rsidR="00C54E76" w:rsidRPr="00335B1B">
        <w:rPr>
          <w:rFonts w:ascii="Times New Roman" w:hAnsi="Times New Roman"/>
        </w:rPr>
        <w:t>4.7.2.1.</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двухполосным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68" w:name="_Toc414995083"/>
      <w:r w:rsidRPr="004E57DA">
        <w:rPr>
          <w:rFonts w:ascii="Times New Roman" w:hAnsi="Times New Roman"/>
        </w:rPr>
        <w:t xml:space="preserve">Таблица </w:t>
      </w:r>
      <w:r w:rsidR="00C54E76" w:rsidRPr="004E57DA">
        <w:rPr>
          <w:rFonts w:ascii="Times New Roman" w:hAnsi="Times New Roman"/>
        </w:rPr>
        <w:t>4.7.10.1</w:t>
      </w:r>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69" w:name="_Toc414995084"/>
      <w:r w:rsidRPr="004E57DA">
        <w:rPr>
          <w:rFonts w:ascii="Times New Roman" w:hAnsi="Times New Roman"/>
        </w:rPr>
        <w:t xml:space="preserve">Таблица </w:t>
      </w:r>
      <w:r w:rsidR="00C54E76" w:rsidRPr="004E57DA">
        <w:rPr>
          <w:rFonts w:ascii="Times New Roman" w:hAnsi="Times New Roman"/>
        </w:rPr>
        <w:t>4.7.10.2.</w:t>
      </w:r>
      <w:bookmarkEnd w:id="169"/>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0" w:name="_Toc414995085"/>
      <w:r w:rsidRPr="004E57DA">
        <w:rPr>
          <w:rFonts w:ascii="Times New Roman" w:hAnsi="Times New Roman"/>
        </w:rPr>
        <w:t xml:space="preserve">Таблица </w:t>
      </w:r>
      <w:r w:rsidR="00C54E76" w:rsidRPr="004E57DA">
        <w:rPr>
          <w:rFonts w:ascii="Times New Roman" w:hAnsi="Times New Roman"/>
        </w:rPr>
        <w:t>4.7.12.1.</w:t>
      </w:r>
      <w:bookmarkEnd w:id="170"/>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lastRenderedPageBreak/>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шумозащитных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на предзаводских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поребрики)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lastRenderedPageBreak/>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п.п.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отстойно-разворотных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w:t>
      </w:r>
      <w:r w:rsidRPr="004E57DA">
        <w:lastRenderedPageBreak/>
        <w:t xml:space="preserve">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левоповоротных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650D9D" w:rsidP="00922846">
      <w:pPr>
        <w:pStyle w:val="30"/>
      </w:pPr>
      <w:r>
        <w:t xml:space="preserve"> </w:t>
      </w:r>
      <w:r w:rsidR="00511CA3"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00511CA3" w:rsidRPr="004E57DA">
        <w:t xml:space="preserve">. </w:t>
      </w:r>
      <w:r w:rsidR="00ED11A6" w:rsidRPr="004E57DA">
        <w:t>«Инженерная инфраструктура</w:t>
      </w:r>
      <w:r w:rsidR="00511CA3"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650D9D" w:rsidP="00511CA3">
      <w:pPr>
        <w:ind w:firstLine="709"/>
        <w:jc w:val="both"/>
        <w:rPr>
          <w:rFonts w:ascii="Times New Roman" w:hAnsi="Times New Roman"/>
        </w:rPr>
      </w:pPr>
      <w:r>
        <w:rPr>
          <w:rFonts w:ascii="Times New Roman" w:hAnsi="Times New Roman"/>
        </w:rPr>
        <w:t xml:space="preserve"> </w:t>
      </w:r>
    </w:p>
    <w:p w:rsidR="00511CA3" w:rsidRPr="004E57DA" w:rsidRDefault="00511CA3" w:rsidP="00922846">
      <w:pPr>
        <w:pStyle w:val="30"/>
      </w:pPr>
      <w:r w:rsidRPr="004E57DA">
        <w:lastRenderedPageBreak/>
        <w:t>Автомобильные дороги,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уширений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двухполосной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четырехполосной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взаимоувязке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1" w:name="_Toc414995086"/>
      <w:r w:rsidRPr="004E57DA">
        <w:rPr>
          <w:rFonts w:ascii="Times New Roman" w:hAnsi="Times New Roman"/>
        </w:rPr>
        <w:t xml:space="preserve">Таблица </w:t>
      </w:r>
      <w:r w:rsidR="008F62A2" w:rsidRPr="004E57DA">
        <w:rPr>
          <w:rFonts w:ascii="Times New Roman" w:hAnsi="Times New Roman"/>
        </w:rPr>
        <w:t>4.7.52.1.</w:t>
      </w:r>
      <w:bookmarkEnd w:id="171"/>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7"/>
      <w:r w:rsidRPr="004E57DA">
        <w:rPr>
          <w:rFonts w:ascii="Times New Roman" w:hAnsi="Times New Roman"/>
        </w:rPr>
        <w:t xml:space="preserve">Таблица </w:t>
      </w:r>
      <w:r w:rsidR="008F62A2" w:rsidRPr="004E57DA">
        <w:rPr>
          <w:rFonts w:ascii="Times New Roman" w:hAnsi="Times New Roman"/>
        </w:rPr>
        <w:t>4.7.55.1.</w:t>
      </w:r>
      <w:bookmarkEnd w:id="172"/>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ем полевых вспомогательных и внутриплощадных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двухполосной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xml:space="preserve">, располагаемые в пределах животно-водческих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Уширение проезжей части двухполосной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3" w:name="_Toc414995088"/>
      <w:bookmarkStart w:id="174" w:name="_Toc414996795"/>
      <w:bookmarkStart w:id="175" w:name="_Toc414996875"/>
      <w:bookmarkStart w:id="176" w:name="_Toc414997272"/>
      <w:bookmarkStart w:id="177" w:name="_Toc418594765"/>
      <w:r w:rsidRPr="004E57DA">
        <w:t>Зем</w:t>
      </w:r>
      <w:r w:rsidR="00BF6E8A" w:rsidRPr="004E57DA">
        <w:t>ляное полотно и дорожные одежды</w:t>
      </w:r>
      <w:bookmarkEnd w:id="173"/>
      <w:bookmarkEnd w:id="174"/>
      <w:bookmarkEnd w:id="175"/>
      <w:bookmarkEnd w:id="176"/>
      <w:bookmarkEnd w:id="177"/>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ческих условий участка строительства, 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на левоповоротных съездах пересечений в разных уровнях.</w:t>
      </w:r>
    </w:p>
    <w:p w:rsidR="00511CA3" w:rsidRPr="004E57DA" w:rsidRDefault="00511CA3" w:rsidP="008F62A2">
      <w:pPr>
        <w:pStyle w:val="30"/>
      </w:pPr>
      <w:r w:rsidRPr="004E57DA">
        <w:t xml:space="preserve">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w:t>
      </w:r>
      <w:r w:rsidR="00650D9D">
        <w:t xml:space="preserve"> </w:t>
      </w:r>
      <w:r w:rsidRPr="004E57DA">
        <w:t xml:space="preserve">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Цементобетонные 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Скоростные дороги, магистральные улицы 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Асфальтобетонные, дёгтебетонные,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Щебёночные и гравийные: из грунтов и местных малопрочных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78" w:name="_Toc414995089"/>
      <w:bookmarkStart w:id="179" w:name="_Toc414996796"/>
      <w:bookmarkStart w:id="180" w:name="_Toc414996876"/>
      <w:bookmarkStart w:id="181" w:name="_Toc414997273"/>
      <w:bookmarkStart w:id="182" w:name="_Toc418594766"/>
      <w:r w:rsidRPr="004E57DA">
        <w:t>Площади</w:t>
      </w:r>
      <w:bookmarkEnd w:id="178"/>
      <w:bookmarkEnd w:id="179"/>
      <w:bookmarkEnd w:id="180"/>
      <w:bookmarkEnd w:id="181"/>
      <w:bookmarkEnd w:id="182"/>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Приоб</w:t>
            </w:r>
            <w:r w:rsidR="00AC5EAE">
              <w:rPr>
                <w:rFonts w:ascii="Times New Roman" w:hAnsi="Times New Roman"/>
              </w:rPr>
              <w:t>ъектные (</w:t>
            </w:r>
            <w:r w:rsidRPr="004E57DA">
              <w:rPr>
                <w:rFonts w:ascii="Times New Roman" w:hAnsi="Times New Roman"/>
              </w:rPr>
              <w:t>театров, памятников, 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Предзаводские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на главных и приобъектных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t xml:space="preserve"> При озеленении площади рекомендуется использовать периметральное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3" w:name="_Toc414995090"/>
      <w:bookmarkStart w:id="184" w:name="_Toc414996797"/>
      <w:bookmarkStart w:id="185" w:name="_Toc414996877"/>
      <w:bookmarkStart w:id="186" w:name="_Toc414997274"/>
      <w:bookmarkStart w:id="187" w:name="_Toc418594767"/>
      <w:r w:rsidRPr="004E57DA">
        <w:t>Транспортные проезды</w:t>
      </w:r>
      <w:bookmarkEnd w:id="183"/>
      <w:bookmarkEnd w:id="184"/>
      <w:bookmarkEnd w:id="185"/>
      <w:bookmarkEnd w:id="186"/>
      <w:bookmarkEnd w:id="187"/>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периметральной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Микрорайоны и кварталы с застройкой 5 этажей и выше, как правило, обслуживаются двухполосными,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отдельностоящим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88" w:name="_Toc414995091"/>
      <w:bookmarkStart w:id="189" w:name="_Toc414996798"/>
      <w:bookmarkStart w:id="190" w:name="_Toc414996878"/>
      <w:bookmarkStart w:id="191" w:name="_Toc414997275"/>
      <w:bookmarkStart w:id="192" w:name="_Toc418594768"/>
      <w:r w:rsidRPr="009C0322">
        <w:t>Велосипедные дорожки</w:t>
      </w:r>
      <w:bookmarkEnd w:id="188"/>
      <w:bookmarkEnd w:id="189"/>
      <w:bookmarkEnd w:id="190"/>
      <w:bookmarkEnd w:id="191"/>
      <w:bookmarkEnd w:id="192"/>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Однополосные велосипедные дорожки, как правило, следует располагать с наветренной стороны дороги (в расчете на господствующие в летний период ветры), а двухполосные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Покрытия велосипедных дорожек следует предусматривать из материалов, обработанных вяжущими, а также из щебня, гравийного материала, грунтощебня, кирпичного боя, горелых пород и шлака, а при отсутствии этих материалов при соответствующем технико-экономическом обосновании - из асфальтобетона и цементобетона.</w:t>
      </w:r>
    </w:p>
    <w:p w:rsidR="002C5803" w:rsidRDefault="002C5803" w:rsidP="002C5803">
      <w:pPr>
        <w:pStyle w:val="20"/>
        <w:numPr>
          <w:ilvl w:val="0"/>
          <w:numId w:val="0"/>
        </w:numPr>
      </w:pPr>
      <w:bookmarkStart w:id="193" w:name="_Toc414995092"/>
      <w:bookmarkStart w:id="194" w:name="_Toc414996799"/>
      <w:bookmarkStart w:id="195" w:name="_Toc414996879"/>
      <w:bookmarkStart w:id="196" w:name="_Toc414997276"/>
      <w:bookmarkStart w:id="197" w:name="_Toc418594769"/>
    </w:p>
    <w:p w:rsidR="00511CA3" w:rsidRPr="009C0322" w:rsidRDefault="00BF6E8A" w:rsidP="009C0322">
      <w:pPr>
        <w:pStyle w:val="20"/>
        <w:ind w:left="0" w:firstLine="0"/>
        <w:jc w:val="center"/>
      </w:pPr>
      <w:r w:rsidRPr="009C0322">
        <w:t>Пешеходные коммуникации</w:t>
      </w:r>
      <w:bookmarkEnd w:id="193"/>
      <w:bookmarkEnd w:id="194"/>
      <w:bookmarkEnd w:id="195"/>
      <w:bookmarkEnd w:id="196"/>
      <w:bookmarkEnd w:id="197"/>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198" w:name="_Toc414995093"/>
      <w:r w:rsidRPr="006B305E">
        <w:rPr>
          <w:rFonts w:ascii="Times New Roman" w:hAnsi="Times New Roman"/>
        </w:rPr>
        <w:t xml:space="preserve">Таблица </w:t>
      </w:r>
      <w:r w:rsidR="00BF6E8A" w:rsidRPr="006B305E">
        <w:rPr>
          <w:rFonts w:ascii="Times New Roman" w:hAnsi="Times New Roman"/>
        </w:rPr>
        <w:t>4.12.7.1.</w:t>
      </w:r>
      <w:bookmarkEnd w:id="198"/>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предзаводских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199"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199"/>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0"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0"/>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1" w:name="_Toc414995096"/>
      <w:bookmarkStart w:id="202" w:name="_Toc414996800"/>
      <w:bookmarkStart w:id="203" w:name="_Toc414996880"/>
      <w:bookmarkStart w:id="204" w:name="_Toc414997277"/>
      <w:bookmarkStart w:id="205" w:name="_Toc418594770"/>
      <w:r w:rsidRPr="006B305E">
        <w:t>Пешеходные переходы</w:t>
      </w:r>
      <w:bookmarkEnd w:id="201"/>
      <w:bookmarkEnd w:id="202"/>
      <w:bookmarkEnd w:id="203"/>
      <w:bookmarkEnd w:id="204"/>
      <w:bookmarkEnd w:id="205"/>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06" w:name="_Toc414995097"/>
      <w:bookmarkStart w:id="207" w:name="_Toc414996801"/>
      <w:bookmarkStart w:id="208" w:name="_Toc414996881"/>
      <w:bookmarkStart w:id="209" w:name="_Toc414997278"/>
      <w:bookmarkStart w:id="210" w:name="_Toc418594771"/>
      <w:r w:rsidRPr="00FC2D86">
        <w:t>Ступени, лестницы и пандусы</w:t>
      </w:r>
      <w:bookmarkEnd w:id="206"/>
      <w:bookmarkEnd w:id="207"/>
      <w:bookmarkEnd w:id="208"/>
      <w:bookmarkEnd w:id="209"/>
      <w:bookmarkEnd w:id="210"/>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1" w:name="_Toc414995098"/>
      <w:r w:rsidRPr="00FC2D86">
        <w:rPr>
          <w:rFonts w:ascii="Times New Roman" w:hAnsi="Times New Roman"/>
          <w:i/>
        </w:rPr>
        <w:t>Виды покрытий</w:t>
      </w:r>
      <w:bookmarkEnd w:id="211"/>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твёрдые (капитальные) – монолитные или сборные, выполняемые из асфальтобетона, цементобетона,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Применяемый в проекте вид покрытия должен быть прочным, ремонтопригодным, экологичным,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периметральных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2" w:name="_Toc414995099"/>
      <w:bookmarkStart w:id="213" w:name="_Toc414996802"/>
      <w:bookmarkStart w:id="214" w:name="_Toc414996882"/>
      <w:bookmarkStart w:id="215" w:name="_Toc414997279"/>
      <w:bookmarkStart w:id="216" w:name="_Toc418594772"/>
      <w:r w:rsidRPr="00FC2D86">
        <w:t>Сеть общественного пассажирского транспорта</w:t>
      </w:r>
      <w:bookmarkEnd w:id="212"/>
      <w:bookmarkEnd w:id="213"/>
      <w:bookmarkEnd w:id="214"/>
      <w:bookmarkEnd w:id="215"/>
      <w:bookmarkEnd w:id="216"/>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пешеходно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Для автобуса и троллейбуса площадь отстойно-разворотной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машино-место.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отстойно-разворотной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отстойно-разворотных площадок должны быть закреплены в плане красных линий. </w:t>
      </w:r>
    </w:p>
    <w:p w:rsidR="00511CA3" w:rsidRPr="00611B36" w:rsidRDefault="00511CA3" w:rsidP="003E2E0B">
      <w:pPr>
        <w:pStyle w:val="30"/>
      </w:pPr>
      <w:r w:rsidRPr="00611B36">
        <w:t xml:space="preserve">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эт.</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17" w:name="_Toc414995100"/>
      <w:bookmarkStart w:id="218" w:name="_Toc414996803"/>
      <w:bookmarkStart w:id="219" w:name="_Toc414996883"/>
      <w:bookmarkStart w:id="220" w:name="_Toc414997280"/>
      <w:bookmarkStart w:id="221" w:name="_Toc418594773"/>
      <w:r w:rsidRPr="00950F64">
        <w:t>Сооружения и устройства для хранения, парковки и обслуживания транспортных средств</w:t>
      </w:r>
      <w:bookmarkEnd w:id="217"/>
      <w:bookmarkEnd w:id="218"/>
      <w:bookmarkEnd w:id="219"/>
      <w:bookmarkEnd w:id="220"/>
      <w:bookmarkEnd w:id="221"/>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Требуемое количество машино-мест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в санитарно-защитных зонах производственных предприятий </w:t>
      </w:r>
      <w:r w:rsidR="00650D9D">
        <w:t xml:space="preserve"> </w:t>
      </w:r>
      <w:r w:rsidRPr="00950F64">
        <w:t xml:space="preserve">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t xml:space="preserve">Наземные автостоянки вместимостью свыше 500 </w:t>
      </w:r>
      <w:r w:rsidRPr="00950F64">
        <w:rPr>
          <w:rStyle w:val="spelle"/>
          <w:color w:val="000000"/>
        </w:rPr>
        <w:t>машино-мест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r w:rsidRPr="00950F64">
              <w:rPr>
                <w:rStyle w:val="spelle"/>
                <w:rFonts w:ascii="Times New Roman" w:hAnsi="Times New Roman"/>
              </w:rPr>
              <w:t>машино-мест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машино-мест,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машино-мест на всех автостоянках, но во всех случаях не допуская размещения во внутриквартальной жилой застройке автостоянок вместимостью более 300 машино-мест.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машино-мест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машино-мест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r w:rsidRPr="00950F64">
        <w:rPr>
          <w:rStyle w:val="spelle"/>
          <w:rFonts w:ascii="Times New Roman" w:hAnsi="Times New Roman"/>
        </w:rPr>
        <w:t>Вентвыбросы</w:t>
      </w:r>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машино-мест;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машино-мест.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шумо- и виброзащиты,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машино-место, для:</w:t>
      </w:r>
    </w:p>
    <w:p w:rsidR="00511CA3" w:rsidRPr="00950F64" w:rsidRDefault="00511CA3" w:rsidP="00511CA3">
      <w:pPr>
        <w:pStyle w:val="af"/>
        <w:widowControl w:val="0"/>
        <w:spacing w:before="0" w:beforeAutospacing="0" w:after="0" w:afterAutospacing="0"/>
        <w:ind w:firstLine="709"/>
        <w:jc w:val="both"/>
      </w:pPr>
      <w:r w:rsidRPr="00950F64">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машино-место.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r w:rsidRPr="00950F64">
        <w:rPr>
          <w:rStyle w:val="spelle"/>
          <w:szCs w:val="24"/>
        </w:rPr>
        <w:t>машино-мест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r w:rsidRPr="00950F64">
        <w:rPr>
          <w:rStyle w:val="spelle"/>
          <w:szCs w:val="24"/>
        </w:rPr>
        <w:t>внутридворовым</w:t>
      </w:r>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машино-мест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машино-мест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Число машино-мест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Театры, цирки, кинотеатры, концертные залы, музеи, 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или 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100 пассажиров дальнего и местного сообщений, прибыва-ющих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машино-мест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Расстояния от АЗС с подземными резервуарами для хранения жидкоготоплива,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2" w:name="_Toc406701164"/>
      <w:bookmarkStart w:id="223" w:name="_Toc414995101"/>
      <w:bookmarkStart w:id="224" w:name="_Toc414996804"/>
      <w:bookmarkStart w:id="225" w:name="_Toc414996884"/>
      <w:bookmarkStart w:id="226" w:name="_Toc414997281"/>
      <w:bookmarkStart w:id="227" w:name="_Toc418594774"/>
      <w:r w:rsidRPr="00C76153">
        <w:t>Инженерная инфраструктура</w:t>
      </w:r>
      <w:bookmarkEnd w:id="222"/>
      <w:bookmarkEnd w:id="223"/>
      <w:bookmarkEnd w:id="224"/>
      <w:bookmarkEnd w:id="225"/>
      <w:bookmarkEnd w:id="226"/>
      <w:bookmarkEnd w:id="227"/>
    </w:p>
    <w:p w:rsidR="002C5803" w:rsidRPr="00C76153" w:rsidRDefault="002C5803" w:rsidP="007D2A2A">
      <w:pPr>
        <w:pStyle w:val="20"/>
        <w:numPr>
          <w:ilvl w:val="1"/>
          <w:numId w:val="175"/>
        </w:numPr>
        <w:ind w:left="720"/>
        <w:jc w:val="center"/>
        <w:rPr>
          <w:lang w:eastAsia="en-US"/>
        </w:rPr>
      </w:pPr>
      <w:bookmarkStart w:id="228" w:name="_Toc414995102"/>
      <w:bookmarkStart w:id="229" w:name="_Toc414996805"/>
      <w:bookmarkStart w:id="230" w:name="_Toc414996885"/>
      <w:bookmarkStart w:id="231" w:name="_Toc414997282"/>
      <w:bookmarkStart w:id="232" w:name="_Toc418594775"/>
      <w:r>
        <w:rPr>
          <w:lang w:eastAsia="en-US"/>
        </w:rPr>
        <w:t>Общие положения</w:t>
      </w:r>
      <w:bookmarkEnd w:id="228"/>
      <w:bookmarkEnd w:id="229"/>
      <w:bookmarkEnd w:id="230"/>
      <w:bookmarkEnd w:id="231"/>
      <w:bookmarkEnd w:id="232"/>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3" w:name="_Toc406701165"/>
      <w:bookmarkStart w:id="234" w:name="_Toc414995103"/>
      <w:bookmarkStart w:id="235" w:name="_Toc414996806"/>
      <w:bookmarkStart w:id="236" w:name="_Toc414996886"/>
      <w:bookmarkStart w:id="237" w:name="_Toc414997283"/>
      <w:bookmarkStart w:id="238" w:name="_Toc418594776"/>
      <w:r w:rsidRPr="00A45429">
        <w:rPr>
          <w:szCs w:val="24"/>
        </w:rPr>
        <w:t>Водоснабжение</w:t>
      </w:r>
      <w:bookmarkEnd w:id="233"/>
      <w:bookmarkEnd w:id="234"/>
      <w:bookmarkEnd w:id="235"/>
      <w:bookmarkEnd w:id="236"/>
      <w:bookmarkEnd w:id="237"/>
      <w:bookmarkEnd w:id="238"/>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л/сут.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t>Размеры земельных участков для станций очистки воды в зависимости от их производительности (</w:t>
      </w:r>
      <w:r w:rsidRPr="00153A18">
        <w:t>тыс. куб. м/сут.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м/сут</w:t>
            </w:r>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Организацию противопожарного водопровода (в том числе расходы воды на пожаротушение, решение повысительных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Допускается применять наружное противопожарное водоснабжение из искусственных и естественных водоисточников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требованиямСанПиН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воды менее 15 л/с с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39" w:name="_Toc406701166"/>
      <w:bookmarkStart w:id="240" w:name="_Toc414995104"/>
      <w:bookmarkStart w:id="241" w:name="_Toc414996807"/>
      <w:bookmarkStart w:id="242" w:name="_Toc414996887"/>
      <w:bookmarkStart w:id="243" w:name="_Toc414997284"/>
      <w:bookmarkStart w:id="244" w:name="_Toc418594777"/>
      <w:r w:rsidRPr="00A45429">
        <w:t>Канализация</w:t>
      </w:r>
      <w:bookmarkEnd w:id="239"/>
      <w:bookmarkEnd w:id="240"/>
      <w:bookmarkEnd w:id="241"/>
      <w:bookmarkEnd w:id="242"/>
      <w:bookmarkEnd w:id="243"/>
      <w:bookmarkEnd w:id="244"/>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r w:rsidR="00F37478">
        <w:t>Терезинского</w:t>
      </w:r>
      <w:r w:rsidR="00FE5B2D">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Канализирование индивидуальной и общественной застройки происходит в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r w:rsidR="00F37478">
        <w:t>Терезинского</w:t>
      </w:r>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Схемы водоотведения должны содержать целевые показатели развития централизованных систем водоотведения, предусматривать мероприятия, необходимые 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канализования,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взаимоувязку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рыбохозяйственного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Полученные значения расчетных расходов сточных вод по бассейнам канализования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Расчетные общие максимальные и минимальные расходы сточных вод с учетом суточной, часовой и внутричасовой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водоподачи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Расчетные общие максимальные и минимальные расходы сточных вод с учетом суточной, часовой и внутричасовой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5%-ная обеспеченность предполагает возможное увеличение (уменьшение) расхода в среднем 1 раз в течение суток. 1% - 1 раз в течение 5-6 сут.</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неорганизованно поступающего в самотечные сети канализации через неплотности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навозосодержащих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381664E5" wp14:editId="4E29718B">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26F5BEDC" wp14:editId="3CA7BDD6">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м/сут.</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Площадку очистных сооружений коммунальных систем водоотведения следует размещать, как правило, с подветренной стороны для господствующих ветров теплого</w:t>
      </w:r>
      <w:r w:rsidRPr="00A45429">
        <w:rPr>
          <w:rFonts w:ascii="Times New Roman" w:hAnsi="Times New Roman"/>
        </w:rPr>
        <w:t>периода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иловыми площадками для сброженных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 xml:space="preserve">/сут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 xml:space="preserve">/сут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/сут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канализования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/сут.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м/сут.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Отведение очищенных сточных вод в поверхностный водоем рекомендуется применять при водонепроницаемых или слабофильтрующих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r w:rsidR="002C5803" w:rsidRPr="00A45429">
        <w:t xml:space="preserve">сут)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5" w:name="_Toc414995105"/>
      <w:bookmarkStart w:id="246" w:name="_Toc414996808"/>
      <w:bookmarkStart w:id="247" w:name="_Toc414996888"/>
      <w:bookmarkStart w:id="248" w:name="_Toc414997285"/>
      <w:bookmarkStart w:id="249" w:name="_Toc418594778"/>
      <w:r w:rsidRPr="00A45429">
        <w:t>Дождевая канализация</w:t>
      </w:r>
      <w:bookmarkEnd w:id="245"/>
      <w:bookmarkEnd w:id="246"/>
      <w:bookmarkEnd w:id="247"/>
      <w:bookmarkEnd w:id="248"/>
      <w:bookmarkEnd w:id="249"/>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Отведение поверхностного стока с промплощадок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полураздельной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0" w:name="_Toc414995106"/>
      <w:bookmarkStart w:id="251" w:name="_Toc414996809"/>
      <w:bookmarkStart w:id="252" w:name="_Toc414996889"/>
      <w:bookmarkStart w:id="253" w:name="_Toc414997286"/>
      <w:bookmarkStart w:id="254" w:name="_Toc418594779"/>
      <w:r w:rsidRPr="00A45429">
        <w:t>Теплоснабжение</w:t>
      </w:r>
      <w:bookmarkEnd w:id="250"/>
      <w:bookmarkEnd w:id="251"/>
      <w:bookmarkEnd w:id="252"/>
      <w:bookmarkEnd w:id="253"/>
      <w:bookmarkEnd w:id="254"/>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r w:rsidR="00F37478">
        <w:t>Терезинского</w:t>
      </w:r>
      <w:r w:rsidR="00B05F33">
        <w:t xml:space="preserve"> </w:t>
      </w:r>
      <w:r w:rsidR="00046ED9">
        <w:t xml:space="preserve">СП </w:t>
      </w:r>
      <w:r w:rsidR="00F37478">
        <w:t xml:space="preserve">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При планировании реконструкции или строительства объектов следует исходить из целесообразности покрытия энергетических потребностей за счет когенерационных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энергоисточники. Сюда же можно отнести и использование возобновляемых источников энергии и новых энерготехнологий.</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(когенерационные установки), или с совместной выработкой электрической, тепловой энергии и холода для систем кондиционирования воздуха (тригенерационные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теплогенераторов (квартирных теплогенераторов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теплоэнергосбережения;</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газомазутном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Теплопроизводительность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на газомазутном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A45429" w:rsidRDefault="00650D9D" w:rsidP="002C5803">
      <w:pPr>
        <w:ind w:firstLine="567"/>
        <w:jc w:val="both"/>
        <w:rPr>
          <w:rFonts w:ascii="Times New Roman" w:hAnsi="Times New Roman"/>
        </w:rPr>
      </w:pPr>
      <w:r>
        <w:rPr>
          <w:rFonts w:ascii="Times New Roman" w:hAnsi="Times New Roman"/>
          <w:i/>
        </w:rPr>
        <w:t xml:space="preserve"> </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Многотрубные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теплогенераторам,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сельских поселений необходимо учитывать возможность использования  автономных котельных, правила проектирования которых приведены в СП 41-104-2000 (с попр.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теплогенераторы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качестве индивидуального источника теплоснабжения в доме могут применяться теплогенераторы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энергоснабжающей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теплогенераторам, рекомендуется предусматривать теплонасосные установки, теплоутилизаторы, солнечные коллекторы и другое оборудование, использующее возобновляемые источники энергии. В качестве теплогенераторов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теплогенераторов мощностью 25 кВт и более воздух для горения должен подаваться непосредственно снаружи. При этом теплогенераторы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теплогенераторы,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Теплогенератор, как правило, должен размещаться в отдельном помещении. Допускается размещение отопительного теплогенератора мощностью до 60 кВт на кухне. Помещение для размещения теплогенератора должно быть расположено на первом этаже, в цокольном или подвальном этаже дома. Размещение теплогенератора на любом энергоносителе выше 1-го этажа не рекомендуется, кроме теплогенераторов,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теплогенератора,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Минимальная высота расположения устьев дымоходов от теплогенераторов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Ильичевский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55" w:name="_Toc414995107"/>
      <w:bookmarkStart w:id="256" w:name="_Toc414996810"/>
      <w:bookmarkStart w:id="257" w:name="_Toc414996890"/>
      <w:bookmarkStart w:id="258" w:name="_Toc414997287"/>
      <w:bookmarkStart w:id="259" w:name="_Toc418594780"/>
      <w:r w:rsidRPr="00A45429">
        <w:t>Электроснабжение</w:t>
      </w:r>
      <w:bookmarkEnd w:id="255"/>
      <w:bookmarkEnd w:id="256"/>
      <w:bookmarkEnd w:id="257"/>
      <w:bookmarkEnd w:id="258"/>
      <w:bookmarkEnd w:id="259"/>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лектрические сети должны выполняться комплексно, с увязкой между собой электроснабжающих сетей 35 кВ и выше и распределительных сетей 6-20</w:t>
      </w:r>
      <w:r>
        <w:rPr>
          <w:rFonts w:ascii="Times New Roman" w:hAnsi="Times New Roman"/>
        </w:rPr>
        <w:t xml:space="preserve"> кВ,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0" w:name="_Toc414995108"/>
      <w:r>
        <w:rPr>
          <w:rFonts w:ascii="Times New Roman" w:hAnsi="Times New Roman"/>
          <w:bCs/>
        </w:rPr>
        <w:t>Таблица 5.6.2.1.</w:t>
      </w:r>
      <w:bookmarkEnd w:id="2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07E088F" wp14:editId="1E1B127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кВ или 35-110-330-750 кВ.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кВ.</w:t>
      </w:r>
    </w:p>
    <w:p w:rsidR="002C5803" w:rsidRPr="00A45429" w:rsidRDefault="002C5803" w:rsidP="007D2A2A">
      <w:pPr>
        <w:pStyle w:val="30"/>
        <w:numPr>
          <w:ilvl w:val="2"/>
          <w:numId w:val="182"/>
        </w:numPr>
        <w:ind w:left="0" w:firstLine="0"/>
      </w:pPr>
      <w:r w:rsidRPr="00A45429">
        <w:t xml:space="preserve">Воздушные линии (ВЛ) электропередачи 35-220 кВ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кВ/м.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кВ;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дляВЛ напряжением 500 кВ;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кВ;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кВ.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Подстанции глубокого ввода 110-220 кВ с трансформаторами 25 МВ</w:t>
      </w:r>
      <w:r w:rsidRPr="00A45429">
        <w:sym w:font="Symbol" w:char="F0D7"/>
      </w:r>
      <w:r w:rsidRPr="00A45429">
        <w:t xml:space="preserve">А и более, а также пункты перехода воздушных линий 110-220 кВ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кВ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кВ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кВ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кВ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Трансформаторные подстанции (ТП) 10-20 кВ и закрытые электроподстанции 110 кВ и выше должны выполняться с устройством шумозащиты.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кВ – </w:t>
      </w:r>
      <w:smartTag w:uri="urn:schemas-microsoft-com:office:smarttags" w:element="metricconverter">
        <w:smartTagPr>
          <w:attr w:name="ProductID" w:val="0,6 га"/>
        </w:smartTagPr>
        <w:r w:rsidRPr="00A45429">
          <w:t>0,6 га</w:t>
        </w:r>
      </w:smartTag>
      <w:r w:rsidRPr="00A45429">
        <w:t xml:space="preserve">; 220 кВ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На существующих электроподстанциях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кВ·А и выполнении мер по шумозащите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1" w:name="_Toc414995109"/>
      <w:bookmarkStart w:id="262" w:name="_Toc414996811"/>
      <w:bookmarkStart w:id="263" w:name="_Toc414996891"/>
      <w:bookmarkStart w:id="264" w:name="_Toc414997288"/>
      <w:bookmarkStart w:id="265" w:name="_Toc418594781"/>
      <w:r w:rsidRPr="00A45429">
        <w:t>Газоснабжение</w:t>
      </w:r>
      <w:bookmarkEnd w:id="261"/>
      <w:bookmarkEnd w:id="262"/>
      <w:bookmarkEnd w:id="263"/>
      <w:bookmarkEnd w:id="264"/>
      <w:bookmarkEnd w:id="265"/>
    </w:p>
    <w:p w:rsidR="002C5803" w:rsidRPr="00A45429" w:rsidRDefault="002C5803" w:rsidP="007D2A2A">
      <w:pPr>
        <w:pStyle w:val="30"/>
        <w:numPr>
          <w:ilvl w:val="2"/>
          <w:numId w:val="183"/>
        </w:numPr>
        <w:ind w:left="0" w:firstLine="0"/>
      </w:pPr>
      <w:r w:rsidRPr="00A45429">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66"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66"/>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0,6 до 1,2 включ.</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0,6 до 1,6 включ.</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0,3 до 0,6 включ.</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0,005 до 0,3 включ.</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До 0,005 включ.</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67" w:name="sub_2"/>
      <w:r w:rsidRPr="00A45429">
        <w:rPr>
          <w:rFonts w:ascii="Times New Roman" w:hAnsi="Times New Roman"/>
          <w:bCs/>
        </w:rPr>
        <w:t>Таблица </w:t>
      </w:r>
      <w:bookmarkEnd w:id="267"/>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68" w:name="sub_21"/>
            <w:r w:rsidRPr="00A45429">
              <w:rPr>
                <w:rFonts w:ascii="Times New Roman" w:hAnsi="Times New Roman"/>
              </w:rPr>
              <w:t>1 Газотурбинные и парогазовые установки</w:t>
            </w:r>
            <w:bookmarkEnd w:id="26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69" w:name="sub_23"/>
            <w:r w:rsidRPr="00A45429">
              <w:rPr>
                <w:rFonts w:ascii="Times New Roman" w:hAnsi="Times New Roman"/>
              </w:rPr>
              <w:t>3 Прочие производственные здания</w:t>
            </w:r>
            <w:bookmarkEnd w:id="26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0"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0"/>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1" w:name="sub_25"/>
            <w:r w:rsidRPr="00A45429">
              <w:rPr>
                <w:rFonts w:ascii="Times New Roman" w:hAnsi="Times New Roman"/>
              </w:rPr>
              <w:t xml:space="preserve">5 Административные и бытовые здания, не 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1"/>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2" w:name="sub_26"/>
            <w:r w:rsidRPr="00A45429">
              <w:rPr>
                <w:rFonts w:ascii="Times New Roman" w:hAnsi="Times New Roman"/>
              </w:rPr>
              <w:t>6 Котельные:</w:t>
            </w:r>
            <w:bookmarkEnd w:id="272"/>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8"/>
            <w:r w:rsidRPr="00A45429">
              <w:rPr>
                <w:rFonts w:ascii="Times New Roman" w:hAnsi="Times New Roman"/>
              </w:rPr>
              <w:t>8 Жилые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газопотребления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75" w:name="_Toc414995110"/>
      <w:bookmarkStart w:id="276" w:name="_Toc414996812"/>
      <w:bookmarkStart w:id="277" w:name="_Toc414996892"/>
      <w:bookmarkStart w:id="278" w:name="_Toc414997289"/>
      <w:bookmarkStart w:id="279" w:name="_Toc418594782"/>
      <w:r>
        <w:t>Связь</w:t>
      </w:r>
      <w:bookmarkEnd w:id="275"/>
      <w:bookmarkEnd w:id="276"/>
      <w:bookmarkEnd w:id="277"/>
      <w:bookmarkEnd w:id="278"/>
      <w:bookmarkEnd w:id="279"/>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6-12 тыс.жит.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5-20 тыс.номеров</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1,0-0,3 тыс.номеров</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Опорно-усилительная станция (из расчета 20-60 тыс.абонентов)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1-2 эт.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1 эт.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веншахты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0" w:name="_Toc414995111"/>
      <w:bookmarkStart w:id="281" w:name="_Toc414996813"/>
      <w:bookmarkStart w:id="282" w:name="_Toc414996893"/>
      <w:bookmarkStart w:id="283" w:name="_Toc414997290"/>
      <w:bookmarkStart w:id="284" w:name="_Toc418594783"/>
      <w:r>
        <w:t>Инженерные сети</w:t>
      </w:r>
      <w:bookmarkEnd w:id="280"/>
      <w:bookmarkEnd w:id="281"/>
      <w:bookmarkEnd w:id="282"/>
      <w:bookmarkEnd w:id="283"/>
      <w:bookmarkEnd w:id="284"/>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w:t>
      </w:r>
      <w:r w:rsidR="00650D9D">
        <w:t xml:space="preserve"> </w:t>
      </w:r>
      <w:r w:rsidRPr="00A45429">
        <w:t xml:space="preserve">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свыше десяти кабелей связи и десяти силовых кабелей напряжением до 10 кВ).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просадочные) необходимо предусматривать прокладку водонесущих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(бесканальная,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кВ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указанные расстояния до инженерных сетей допускается сокращать, но принимать не менее, м: до водонесущих сетей - 5; неводонесущих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85" w:name="_Toc414995112"/>
      <w:bookmarkStart w:id="286" w:name="_Toc414996814"/>
      <w:bookmarkStart w:id="287" w:name="_Toc414996894"/>
      <w:bookmarkStart w:id="288" w:name="_Toc414997291"/>
      <w:bookmarkStart w:id="289" w:name="_Toc418594784"/>
      <w:r w:rsidRPr="002C5803">
        <w:t>ЗОНЫ СПЕЦИАЛЬНОГО ЗНАЧЕНИЯ</w:t>
      </w:r>
      <w:bookmarkEnd w:id="285"/>
      <w:bookmarkEnd w:id="286"/>
      <w:bookmarkEnd w:id="287"/>
      <w:bookmarkEnd w:id="288"/>
      <w:bookmarkEnd w:id="289"/>
    </w:p>
    <w:p w:rsidR="00E5525E" w:rsidRPr="002C5803" w:rsidRDefault="00520101" w:rsidP="001D0071">
      <w:pPr>
        <w:pStyle w:val="20"/>
        <w:ind w:left="0" w:firstLine="0"/>
        <w:jc w:val="both"/>
      </w:pPr>
      <w:bookmarkStart w:id="290" w:name="_Toc414995113"/>
      <w:bookmarkStart w:id="291" w:name="_Toc414996815"/>
      <w:bookmarkStart w:id="292" w:name="_Toc414996895"/>
      <w:bookmarkStart w:id="293" w:name="_Toc414997292"/>
      <w:bookmarkStart w:id="294" w:name="_Toc418594785"/>
      <w:r w:rsidRPr="002C5803">
        <w:t>Общие положения</w:t>
      </w:r>
      <w:bookmarkEnd w:id="290"/>
      <w:bookmarkEnd w:id="291"/>
      <w:bookmarkEnd w:id="292"/>
      <w:bookmarkEnd w:id="293"/>
      <w:bookmarkEnd w:id="294"/>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295" w:name="_Toc414995114"/>
      <w:bookmarkStart w:id="296" w:name="_Toc414996816"/>
      <w:bookmarkStart w:id="297" w:name="_Toc414996896"/>
      <w:bookmarkStart w:id="298" w:name="_Toc414997293"/>
      <w:bookmarkStart w:id="299" w:name="_Toc418594786"/>
      <w:r w:rsidRPr="002C5803">
        <w:t>Зоны р</w:t>
      </w:r>
      <w:r w:rsidR="00520101" w:rsidRPr="002C5803">
        <w:t>азмещения кладбищ и крематориев</w:t>
      </w:r>
      <w:bookmarkEnd w:id="295"/>
      <w:bookmarkEnd w:id="296"/>
      <w:bookmarkEnd w:id="297"/>
      <w:bookmarkEnd w:id="298"/>
      <w:bookmarkEnd w:id="299"/>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урновых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 (в том числе и в случае использования кладбища для смешанных захоронений – урновых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обваловка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водоснабжения, канализования, теплоэлектроснабжения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почвенно-географических и способности почв и почвогрунтов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водоисточника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Роспотребнадзора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 выходом на поверхность закарстованных,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трупы животных и птиц, в т.ч.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мясо-рыбоперерабатывающих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Размещение скотомогильников (биотермических ям) на территории особо охраняемых территорий (в том числе особо охраняемых природных территориях, водоохранных,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Минимальные расстояния от скотомогильников до скотопрогонов и пастбищ следует принимать 200 м, до автомобильных</w:t>
      </w:r>
      <w:r w:rsidR="00650D9D">
        <w:t xml:space="preserve"> </w:t>
      </w:r>
      <w:r w:rsidRPr="00EB74AD">
        <w:t xml:space="preserve">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 xml:space="preserve">В исключительных случаях, с разрешения Управления федеральной службы по ветеринарному и фитосанитарному надзору по КЧР (Россельхознадзор)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снегоприемные пункты.</w:t>
      </w:r>
    </w:p>
    <w:p w:rsidR="00FC115A" w:rsidRPr="00B6560C" w:rsidRDefault="00FC115A" w:rsidP="007D2A2A">
      <w:pPr>
        <w:pStyle w:val="30"/>
        <w:numPr>
          <w:ilvl w:val="2"/>
          <w:numId w:val="186"/>
        </w:numPr>
        <w:ind w:left="0" w:firstLine="0"/>
      </w:pPr>
      <w:r w:rsidRPr="00B6560C">
        <w:t>Проектирование снегоприемных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снегоприемных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Размер санитарно-защитной зоны от снегоприемных пунктов до жилойзастройки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обваловка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водоснабжения, канализования, теплоэлектроснабжения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почвенно-географических и способности почв и почвогрунтов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водоисточника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Роспотребнадзора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 выходом на поверхность закарстованных,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трупы животных и птиц, в т.ч.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мясо-рыбоперерабатывающих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Размещение скотомогильников (биотермических ям) на территории особо охраняемых территорий (в том числе особо охраняемых природных территориях, водоохранных,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Минимальные расстояния от скотомогильников до скотопрогонов и пастбищ следует принимать 200 м, до автомобильных</w:t>
      </w:r>
      <w:r w:rsidR="00650D9D">
        <w:t xml:space="preserve"> </w:t>
      </w:r>
      <w:r w:rsidRPr="00EB74AD">
        <w:t xml:space="preserve">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 xml:space="preserve">В исключительных случаях, с разрешения Управления федеральной службы по ветеринарному и фитосанитарному надзору по КЧР (Россельхознадзор)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снегоприемные пункты.</w:t>
      </w:r>
    </w:p>
    <w:p w:rsidR="00DA446B" w:rsidRPr="00B6560C" w:rsidRDefault="00DA446B" w:rsidP="007D2A2A">
      <w:pPr>
        <w:pStyle w:val="30"/>
        <w:numPr>
          <w:ilvl w:val="2"/>
          <w:numId w:val="186"/>
        </w:numPr>
        <w:ind w:left="0" w:firstLine="0"/>
      </w:pPr>
      <w:r w:rsidRPr="00B6560C">
        <w:t>Проектирование снегоприемных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снегоприемных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Размер санитарно-защитной зоны от снегоприемных пунктов до жилойзастройки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0" w:name="_Toc414995118"/>
      <w:bookmarkStart w:id="301" w:name="_Toc414996820"/>
      <w:bookmarkStart w:id="302" w:name="_Toc414996900"/>
      <w:bookmarkStart w:id="303" w:name="_Toc414997297"/>
      <w:bookmarkStart w:id="304"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0"/>
      <w:bookmarkEnd w:id="301"/>
      <w:bookmarkEnd w:id="302"/>
      <w:bookmarkEnd w:id="303"/>
      <w:bookmarkEnd w:id="304"/>
    </w:p>
    <w:p w:rsidR="00771CD5" w:rsidRPr="00950F64" w:rsidRDefault="00FA2F05" w:rsidP="007D2A2A">
      <w:pPr>
        <w:pStyle w:val="20"/>
        <w:numPr>
          <w:ilvl w:val="1"/>
          <w:numId w:val="187"/>
        </w:numPr>
        <w:ind w:left="0" w:firstLine="0"/>
      </w:pPr>
      <w:bookmarkStart w:id="305" w:name="_Toc414995119"/>
      <w:bookmarkStart w:id="306" w:name="_Toc414996821"/>
      <w:bookmarkStart w:id="307" w:name="_Toc414996901"/>
      <w:bookmarkStart w:id="308" w:name="_Toc414997298"/>
      <w:bookmarkStart w:id="309" w:name="_Toc418594791"/>
      <w:r w:rsidRPr="00950F64">
        <w:t>Общие положения</w:t>
      </w:r>
      <w:bookmarkEnd w:id="305"/>
      <w:bookmarkEnd w:id="306"/>
      <w:bookmarkEnd w:id="307"/>
      <w:bookmarkEnd w:id="308"/>
      <w:bookmarkEnd w:id="309"/>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0" w:name="_Toc414995121"/>
      <w:bookmarkStart w:id="311" w:name="_Toc414996823"/>
      <w:bookmarkStart w:id="312" w:name="_Toc414996903"/>
      <w:bookmarkStart w:id="313" w:name="_Toc414997300"/>
      <w:bookmarkStart w:id="314" w:name="_Toc418594792"/>
      <w:r w:rsidRPr="00950F64">
        <w:t>Зоны предназначенные для ведения садоводства, ого</w:t>
      </w:r>
      <w:r w:rsidR="00FA2F05" w:rsidRPr="00950F64">
        <w:t>родничества и дачного хозяйства</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15" w:name="_Toc414995122"/>
      <w:r w:rsidRPr="00950F64">
        <w:rPr>
          <w:rFonts w:ascii="Times New Roman" w:hAnsi="Times New Roman" w:cs="Times New Roman"/>
          <w:b/>
          <w:i/>
        </w:rPr>
        <w:t>Территория дачного объединения</w:t>
      </w:r>
      <w:bookmarkEnd w:id="315"/>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Сбор, удаление и обезвреживание нечистот в неканализованных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Электрооборудование и молниезащиту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Садоводческие (дачные) объединения, включающие до 300 садовых участков, в противопожарных целях должны иметь переносную мотопомпу, при числе участков от 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16" w:name="_Toc414995123"/>
      <w:r w:rsidRPr="00950F64">
        <w:rPr>
          <w:rFonts w:ascii="Times New Roman" w:hAnsi="Times New Roman" w:cs="Times New Roman"/>
          <w:b/>
          <w:i/>
        </w:rPr>
        <w:t>Территория индивидуального садового (дачного) участка</w:t>
      </w:r>
      <w:bookmarkEnd w:id="316"/>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17" w:name="_Toc414995124"/>
      <w:bookmarkStart w:id="318" w:name="_Toc414996824"/>
      <w:bookmarkStart w:id="319" w:name="_Toc414996904"/>
      <w:bookmarkStart w:id="320" w:name="_Toc414997301"/>
      <w:bookmarkStart w:id="321" w:name="_Toc418594793"/>
      <w:bookmarkEnd w:id="0"/>
      <w:r w:rsidRPr="00A50E6A">
        <w:t>Охрана окружающей среды</w:t>
      </w:r>
      <w:bookmarkEnd w:id="317"/>
      <w:bookmarkEnd w:id="318"/>
      <w:bookmarkEnd w:id="319"/>
      <w:bookmarkEnd w:id="320"/>
      <w:bookmarkEnd w:id="321"/>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2" w:name="_Toc414995125"/>
      <w:bookmarkStart w:id="323" w:name="_Toc414996825"/>
      <w:bookmarkStart w:id="324" w:name="_Toc414996905"/>
      <w:bookmarkStart w:id="325" w:name="_Toc414997302"/>
      <w:bookmarkStart w:id="326" w:name="_Toc418594794"/>
      <w:bookmarkStart w:id="327" w:name="_Toc414995145"/>
      <w:bookmarkStart w:id="328" w:name="_Toc414996845"/>
      <w:bookmarkStart w:id="329" w:name="_Toc414996925"/>
      <w:bookmarkStart w:id="330" w:name="_Toc414997322"/>
      <w:r w:rsidRPr="000B19F4">
        <w:t>Раздел охраны среды в градостроительной документации</w:t>
      </w:r>
      <w:bookmarkEnd w:id="322"/>
      <w:bookmarkEnd w:id="323"/>
      <w:bookmarkEnd w:id="324"/>
      <w:bookmarkEnd w:id="325"/>
      <w:bookmarkEnd w:id="326"/>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8B3EA3" w:rsidRPr="00DB0611" w:rsidRDefault="008B3EA3" w:rsidP="008B3EA3">
      <w:pPr>
        <w:jc w:val="both"/>
        <w:rPr>
          <w:rFonts w:ascii="Times New Roman" w:hAnsi="Times New Roman"/>
        </w:rPr>
      </w:pPr>
      <w:r>
        <w:rPr>
          <w:rFonts w:ascii="Times New Roman" w:hAnsi="Times New Roman"/>
        </w:rPr>
        <w:t>8.1.7</w:t>
      </w:r>
      <w:r w:rsidRPr="00DB0611">
        <w:rPr>
          <w:rFonts w:ascii="Times New Roman" w:hAnsi="Times New Roman"/>
        </w:rPr>
        <w:t xml:space="preserve">.  Санитарно гигиенические требования к  освещенности и инсоляции общественных и жилых зданий следует принимать в соответствии с требованиями  СанПиН 2.2.1/2.1.1.1076-01 </w:t>
      </w:r>
      <w:r w:rsidRPr="00DB0611">
        <w:t>«</w:t>
      </w:r>
      <w:r w:rsidRPr="00DB0611">
        <w:rPr>
          <w:rFonts w:ascii="Times New Roman" w:hAnsi="Times New Roman"/>
        </w:rPr>
        <w:t>Гигиенические требования к инсоляции и солнцезащите помещений жилых и общественных зданий и территорий»</w:t>
      </w:r>
    </w:p>
    <w:p w:rsidR="008B3EA3" w:rsidRPr="00DB0611" w:rsidRDefault="008B3EA3" w:rsidP="008B3EA3">
      <w:pPr>
        <w:jc w:val="both"/>
        <w:rPr>
          <w:rFonts w:ascii="Times New Roman" w:hAnsi="Times New Roman"/>
        </w:rPr>
      </w:pPr>
      <w:r w:rsidRPr="00DB0611">
        <w:rPr>
          <w:rFonts w:ascii="Times New Roman" w:hAnsi="Times New Roman"/>
        </w:rPr>
        <w:t>Требования к инсоляции квартир, в соответствии с СанПиН 2.1.2.2645-10 «Санитарно-эпидемиологические требования к условиям проживания в жилых зданиях и помещениях».</w:t>
      </w:r>
    </w:p>
    <w:p w:rsidR="008B3EA3" w:rsidRPr="00DB0611" w:rsidRDefault="008B3EA3" w:rsidP="008B3EA3">
      <w:pPr>
        <w:widowControl w:val="0"/>
        <w:autoSpaceDE w:val="0"/>
        <w:autoSpaceDN w:val="0"/>
        <w:adjustRightInd w:val="0"/>
        <w:jc w:val="both"/>
        <w:rPr>
          <w:rFonts w:ascii="Times New Roman" w:hAnsi="Times New Roman"/>
        </w:rPr>
      </w:pPr>
      <w:bookmarkStart w:id="331" w:name="i33231"/>
      <w:r w:rsidRPr="00DB0611">
        <w:rPr>
          <w:rFonts w:ascii="Times New Roman" w:hAnsi="Times New Roman"/>
        </w:rPr>
        <w:t xml:space="preserve">Инсоляция является важным фактором, оказывающим оздоравливающее </w:t>
      </w:r>
      <w:bookmarkEnd w:id="331"/>
      <w:r w:rsidRPr="00DB0611">
        <w:rPr>
          <w:rFonts w:ascii="Times New Roman" w:hAnsi="Times New Roman"/>
        </w:rPr>
        <w:t>влияние на среду обитания человека, и должна быть использована в жилых, общественных зданиях и на территории жилой застройки.</w:t>
      </w:r>
    </w:p>
    <w:p w:rsidR="008B3EA3" w:rsidRPr="00DB0611" w:rsidRDefault="008B3EA3" w:rsidP="008B3EA3">
      <w:pPr>
        <w:widowControl w:val="0"/>
        <w:autoSpaceDE w:val="0"/>
        <w:autoSpaceDN w:val="0"/>
        <w:adjustRightInd w:val="0"/>
        <w:jc w:val="both"/>
        <w:rPr>
          <w:rFonts w:ascii="Times New Roman" w:hAnsi="Times New Roman"/>
        </w:rPr>
      </w:pPr>
      <w:r w:rsidRPr="00DB0611">
        <w:rPr>
          <w:rFonts w:ascii="Times New Roman" w:hAnsi="Times New Roman"/>
        </w:rPr>
        <w:t>Нормируемая продолжительность инсоляции регламентируется в жилых зданиях и в основных функциональных помещениях общественных зданий:</w:t>
      </w:r>
    </w:p>
    <w:p w:rsidR="008B3EA3" w:rsidRPr="00DB0611" w:rsidRDefault="008B3EA3" w:rsidP="008B3EA3">
      <w:pPr>
        <w:pStyle w:val="af2"/>
        <w:widowControl w:val="0"/>
        <w:autoSpaceDE w:val="0"/>
        <w:autoSpaceDN w:val="0"/>
        <w:adjustRightInd w:val="0"/>
        <w:ind w:left="360"/>
        <w:jc w:val="both"/>
        <w:rPr>
          <w:rFonts w:ascii="Times New Roman" w:hAnsi="Times New Roman"/>
          <w:sz w:val="24"/>
          <w:szCs w:val="24"/>
        </w:rPr>
      </w:pPr>
      <w:r w:rsidRPr="00DB0611">
        <w:rPr>
          <w:rFonts w:ascii="Times New Roman" w:hAnsi="Times New Roman"/>
          <w:sz w:val="24"/>
          <w:szCs w:val="24"/>
        </w:rPr>
        <w:t>-детских дошкольных учреждениях;</w:t>
      </w:r>
    </w:p>
    <w:p w:rsidR="008B3EA3" w:rsidRPr="00DB0611" w:rsidRDefault="008B3EA3" w:rsidP="008B3EA3">
      <w:pPr>
        <w:pStyle w:val="af2"/>
        <w:widowControl w:val="0"/>
        <w:autoSpaceDE w:val="0"/>
        <w:autoSpaceDN w:val="0"/>
        <w:adjustRightInd w:val="0"/>
        <w:ind w:left="360"/>
        <w:jc w:val="both"/>
        <w:rPr>
          <w:rFonts w:ascii="Times New Roman" w:hAnsi="Times New Roman"/>
          <w:sz w:val="24"/>
          <w:szCs w:val="24"/>
        </w:rPr>
      </w:pPr>
      <w:r w:rsidRPr="00DB0611">
        <w:rPr>
          <w:rFonts w:ascii="Times New Roman" w:hAnsi="Times New Roman"/>
          <w:sz w:val="24"/>
          <w:szCs w:val="24"/>
        </w:rPr>
        <w:t>-учебных учреждениях общеобразовательных, начального, среднего, дополнительного и профессионального образования, школах-интернатах, детских домах и др.;</w:t>
      </w:r>
    </w:p>
    <w:p w:rsidR="008B3EA3" w:rsidRPr="00DB0611" w:rsidRDefault="008B3EA3" w:rsidP="008B3EA3">
      <w:pPr>
        <w:pStyle w:val="af2"/>
        <w:widowControl w:val="0"/>
        <w:autoSpaceDE w:val="0"/>
        <w:autoSpaceDN w:val="0"/>
        <w:adjustRightInd w:val="0"/>
        <w:ind w:left="360"/>
        <w:jc w:val="both"/>
        <w:rPr>
          <w:rFonts w:ascii="Times New Roman" w:hAnsi="Times New Roman"/>
          <w:sz w:val="24"/>
          <w:szCs w:val="24"/>
        </w:rPr>
      </w:pPr>
      <w:r w:rsidRPr="00DB0611">
        <w:rPr>
          <w:rFonts w:ascii="Times New Roman" w:hAnsi="Times New Roman"/>
          <w:sz w:val="24"/>
          <w:szCs w:val="24"/>
        </w:rPr>
        <w:t>-лечебно-профилактических, санаторно-оздоровительных и курортных учреждениях;</w:t>
      </w:r>
    </w:p>
    <w:p w:rsidR="008B3EA3" w:rsidRPr="00DB0611" w:rsidRDefault="008B3EA3" w:rsidP="008B3EA3">
      <w:pPr>
        <w:pStyle w:val="af2"/>
        <w:widowControl w:val="0"/>
        <w:autoSpaceDE w:val="0"/>
        <w:autoSpaceDN w:val="0"/>
        <w:adjustRightInd w:val="0"/>
        <w:ind w:left="360"/>
        <w:jc w:val="both"/>
        <w:rPr>
          <w:rFonts w:ascii="Times New Roman" w:hAnsi="Times New Roman"/>
          <w:sz w:val="24"/>
          <w:szCs w:val="24"/>
        </w:rPr>
      </w:pPr>
      <w:r w:rsidRPr="00DB0611">
        <w:rPr>
          <w:rFonts w:ascii="Times New Roman" w:hAnsi="Times New Roman"/>
          <w:sz w:val="24"/>
          <w:szCs w:val="24"/>
        </w:rPr>
        <w:t>-учреждениях социального обеспечения (домах интернатах для инвалидов и престарелых, хосписах и др.).  К основным функциональным помещениям* относятся:</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-в зданиях ДДУ - групповые, игровые, изоляторы и палаты;</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-в учебных зданиях - классы и учебные кабинеты;</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-в ЛПУ - палаты (не менее 60 % общей численности);</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-в учреждениях социального обеспечения - палаты, изоляторы.</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Инсоляция не требуется в следующих помещениях:</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-патологоанатомических отделениях;</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-операционных, реанимационных залах больниц, вивариев, ветлечебниц;</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-химических лабораториях;</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-выставочных залах музеев;</w:t>
      </w:r>
    </w:p>
    <w:p w:rsidR="008B3EA3" w:rsidRPr="00DB0611" w:rsidRDefault="008B3EA3" w:rsidP="008B3EA3">
      <w:pPr>
        <w:pStyle w:val="af2"/>
        <w:ind w:left="360"/>
        <w:jc w:val="both"/>
        <w:rPr>
          <w:rFonts w:ascii="Times New Roman" w:hAnsi="Times New Roman"/>
          <w:sz w:val="24"/>
          <w:szCs w:val="24"/>
        </w:rPr>
      </w:pPr>
      <w:r w:rsidRPr="00DB0611">
        <w:rPr>
          <w:rFonts w:ascii="Times New Roman" w:hAnsi="Times New Roman"/>
          <w:sz w:val="24"/>
          <w:szCs w:val="24"/>
        </w:rPr>
        <w:t>-книгохранилищах и архивах.</w:t>
      </w:r>
    </w:p>
    <w:p w:rsidR="008B3EA3" w:rsidRPr="00DB0611" w:rsidRDefault="008B3EA3" w:rsidP="008B3EA3">
      <w:pPr>
        <w:pStyle w:val="af2"/>
        <w:ind w:left="0"/>
        <w:jc w:val="both"/>
        <w:rPr>
          <w:rFonts w:ascii="Times New Roman" w:hAnsi="Times New Roman"/>
          <w:sz w:val="24"/>
          <w:szCs w:val="24"/>
        </w:rPr>
      </w:pPr>
      <w:r w:rsidRPr="00DB0611">
        <w:rPr>
          <w:rFonts w:ascii="Times New Roman" w:hAnsi="Times New Roman"/>
          <w:sz w:val="24"/>
          <w:szCs w:val="24"/>
        </w:rPr>
        <w:t xml:space="preserve"> Допускается отсутствие инсоляции в учебных кабинетах информатики, физики, химии, рисования и черчения.</w:t>
      </w:r>
    </w:p>
    <w:p w:rsidR="008B3EA3" w:rsidRPr="00DB0611" w:rsidRDefault="008B3EA3" w:rsidP="008B3EA3">
      <w:pPr>
        <w:pStyle w:val="af2"/>
        <w:ind w:left="0"/>
        <w:jc w:val="both"/>
        <w:rPr>
          <w:rFonts w:ascii="Times New Roman" w:hAnsi="Times New Roman"/>
          <w:sz w:val="24"/>
          <w:szCs w:val="24"/>
        </w:rPr>
      </w:pPr>
      <w:r w:rsidRPr="00DB0611">
        <w:rPr>
          <w:rFonts w:ascii="Times New Roman" w:hAnsi="Times New Roman"/>
          <w:sz w:val="24"/>
          <w:szCs w:val="24"/>
        </w:rPr>
        <w:t>Требования по ограничению избыточного теплового воздействия инсоляции распространяются на жилые комнаты отдельных квартир или комнаты коммунальных квартир, общежитии, ДДУ, учебные помещения общеобразовательных школ, школ-интернатов, ПТУ и других средних специальных учебных заведений, ЛПУ, санаторно-оздоровительных и учреждений социального обеспечения, имеющих юго-западную и западную ориентации светопроемов.</w:t>
      </w:r>
    </w:p>
    <w:p w:rsidR="008B3EA3" w:rsidRPr="00DB0611" w:rsidRDefault="008B3EA3" w:rsidP="008B3EA3">
      <w:pPr>
        <w:jc w:val="both"/>
        <w:rPr>
          <w:rFonts w:ascii="Times New Roman" w:hAnsi="Times New Roman"/>
        </w:rPr>
      </w:pPr>
      <w:r w:rsidRPr="00DB0611">
        <w:rPr>
          <w:rFonts w:ascii="Times New Roman" w:hAnsi="Times New Roman"/>
        </w:rPr>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 (кондиционирование, внутренние системы охлаждения, жалюзи и т. д.). Ограничение теплового воздействия инсоляции территорий должно обеспечиваться затенением от зданий, специальными затеняющими устройствами и рациональным озеленением.</w:t>
      </w:r>
    </w:p>
    <w:p w:rsidR="008B3EA3" w:rsidRPr="00DB0611" w:rsidRDefault="008B3EA3" w:rsidP="008B3EA3">
      <w:pPr>
        <w:pStyle w:val="af2"/>
        <w:ind w:left="0"/>
        <w:jc w:val="both"/>
        <w:rPr>
          <w:rFonts w:ascii="Times New Roman" w:hAnsi="Times New Roman"/>
          <w:sz w:val="24"/>
          <w:szCs w:val="24"/>
        </w:rPr>
      </w:pPr>
      <w:r w:rsidRPr="00DB0611">
        <w:rPr>
          <w:rFonts w:ascii="Times New Roman" w:hAnsi="Times New Roman"/>
          <w:sz w:val="24"/>
          <w:szCs w:val="24"/>
        </w:rPr>
        <w:t>Меры по ограничению избыточного теплового воздействия инсоляции не должны приводить к нарушению норм естественного освещения помещений.</w:t>
      </w:r>
    </w:p>
    <w:p w:rsidR="008B3EA3" w:rsidRPr="00DB0611" w:rsidRDefault="008B3EA3" w:rsidP="008B3EA3">
      <w:pPr>
        <w:jc w:val="both"/>
        <w:rPr>
          <w:rFonts w:ascii="Times New Roman" w:hAnsi="Times New Roman"/>
        </w:rPr>
      </w:pPr>
      <w:r w:rsidRPr="00DB0611">
        <w:rPr>
          <w:rFonts w:ascii="Times New Roman" w:hAnsi="Times New Roman"/>
        </w:rPr>
        <w:t xml:space="preserve">Требования к искусственному и естественному освещению помещений жилых и общественных зданий следует применять в соответствии с </w:t>
      </w:r>
      <w:hyperlink r:id="rId31" w:history="1">
        <w:r w:rsidRPr="00DB0611">
          <w:rPr>
            <w:rStyle w:val="af0"/>
            <w:rFonts w:ascii="Times New Roman" w:hAnsi="Times New Roman"/>
          </w:rPr>
          <w:t>СанПин 2.2.1/2.1.1.1278-03</w:t>
        </w:r>
      </w:hyperlink>
      <w:r w:rsidRPr="00DB0611">
        <w:rPr>
          <w:rFonts w:ascii="Times New Roman" w:hAnsi="Times New Roman"/>
        </w:rPr>
        <w:t>. «Гигиенические требования к естественному, искусственному и совмещенному освещению жилых и общественных зданий».</w:t>
      </w:r>
    </w:p>
    <w:p w:rsidR="008B3EA3" w:rsidRPr="000B19F4" w:rsidRDefault="008B3EA3" w:rsidP="008B3EA3">
      <w:pPr>
        <w:pStyle w:val="30"/>
        <w:numPr>
          <w:ilvl w:val="0"/>
          <w:numId w:val="0"/>
        </w:numPr>
      </w:pP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2" w:name="_Toc414995126"/>
      <w:bookmarkStart w:id="333" w:name="_Toc414996826"/>
      <w:bookmarkStart w:id="334" w:name="_Toc414996906"/>
      <w:bookmarkStart w:id="335" w:name="_Toc414997303"/>
      <w:bookmarkStart w:id="336" w:name="_Toc418594795"/>
      <w:r w:rsidRPr="000B19F4">
        <w:t>Охрана и рациональное и</w:t>
      </w:r>
      <w:r>
        <w:t>спользование природных ресурсов</w:t>
      </w:r>
      <w:bookmarkEnd w:id="332"/>
      <w:bookmarkEnd w:id="333"/>
      <w:bookmarkEnd w:id="334"/>
      <w:bookmarkEnd w:id="335"/>
      <w:bookmarkEnd w:id="336"/>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2"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Непродуктивные и непригодные земли сельхозназначения,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водоохранные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3"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В зонах с особыми условиями использования территории (охранные, санитарно-защитные зоны, зоны охраны объектов культурного наследия, водоохранные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37" w:name="_Toc414995127"/>
      <w:bookmarkStart w:id="338" w:name="_Toc414996827"/>
      <w:bookmarkStart w:id="339" w:name="_Toc414996907"/>
      <w:bookmarkStart w:id="340" w:name="_Toc414997304"/>
      <w:bookmarkStart w:id="341" w:name="_Toc418594796"/>
      <w:r w:rsidRPr="000B19F4">
        <w:t>Охрана атмосферного воздуха, водных объектов, геологичес</w:t>
      </w:r>
      <w:r>
        <w:t>кой среды и почв от загрязнения</w:t>
      </w:r>
      <w:bookmarkEnd w:id="337"/>
      <w:bookmarkEnd w:id="338"/>
      <w:bookmarkEnd w:id="339"/>
      <w:bookmarkEnd w:id="340"/>
      <w:bookmarkEnd w:id="341"/>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электротеплоэнергетики,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водоохранной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4"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5"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2" w:name="_Toc414995128"/>
      <w:bookmarkStart w:id="343" w:name="_Toc414996828"/>
      <w:bookmarkStart w:id="344" w:name="_Toc414996908"/>
      <w:bookmarkStart w:id="345" w:name="_Toc414997305"/>
      <w:bookmarkStart w:id="346" w:name="_Toc418594797"/>
      <w:r w:rsidRPr="000B19F4">
        <w:t>Инженерная</w:t>
      </w:r>
      <w:r>
        <w:t xml:space="preserve"> подготовка и защита территории</w:t>
      </w:r>
      <w:bookmarkEnd w:id="342"/>
      <w:bookmarkEnd w:id="343"/>
      <w:bookmarkEnd w:id="344"/>
      <w:bookmarkEnd w:id="345"/>
      <w:bookmarkEnd w:id="346"/>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При градостроительном освоении территорий, подверженных эрозионным процессам и оврагообразованию,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в зонах, примыкающих к паводкоопасным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47" w:name="_Toc414995129"/>
      <w:bookmarkStart w:id="348" w:name="_Toc414996829"/>
      <w:bookmarkStart w:id="349" w:name="_Toc414996909"/>
      <w:bookmarkStart w:id="350" w:name="_Toc414997306"/>
      <w:bookmarkStart w:id="351" w:name="_Toc418594798"/>
      <w:r w:rsidRPr="000B19F4">
        <w:t>Защита от шума, вибрации, электрических и магнитн</w:t>
      </w:r>
      <w:r>
        <w:t>ых полек, облучений и излучений</w:t>
      </w:r>
      <w:bookmarkEnd w:id="347"/>
      <w:bookmarkEnd w:id="348"/>
      <w:bookmarkEnd w:id="349"/>
      <w:bookmarkEnd w:id="350"/>
      <w:bookmarkEnd w:id="351"/>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СН 2.2.4/2.1.8.562-96. Шум на 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w:t>
      </w:r>
      <w:r w:rsidR="00650D9D">
        <w:t xml:space="preserve"> </w:t>
      </w:r>
      <w:r w:rsidRPr="000B19F4">
        <w:t xml:space="preserve">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Установление необходимых разрывов между зданиями и источниками вибрации следует дополнять использованием эффективных виброгасящих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гекто - и декаметрового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Проектирование зданий и сооружений должно осуществляться на основе оценки радоноопасности площадки строительства и определения класса требуемой противорадоновой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2" w:name="_Toc414995130"/>
      <w:bookmarkStart w:id="353" w:name="_Toc414996830"/>
      <w:bookmarkStart w:id="354" w:name="_Toc414996910"/>
      <w:bookmarkStart w:id="355" w:name="_Toc414997307"/>
      <w:bookmarkStart w:id="356" w:name="_Toc418594799"/>
      <w:r w:rsidRPr="000B19F4">
        <w:t>Регулирование микроклимата</w:t>
      </w:r>
      <w:bookmarkEnd w:id="352"/>
      <w:bookmarkEnd w:id="353"/>
      <w:bookmarkEnd w:id="354"/>
      <w:bookmarkEnd w:id="355"/>
      <w:bookmarkEnd w:id="356"/>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снижение продолжительности инсоляции на 0,5 часа в 2 - 3-х комнатных квартирах, где инсолируется не менее двух комнат, и в многокомнатных квартирах, где инсолируется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57" w:name="_Toc414995131"/>
      <w:bookmarkStart w:id="358" w:name="_Toc414996831"/>
      <w:bookmarkStart w:id="359" w:name="_Toc414996911"/>
      <w:bookmarkStart w:id="360" w:name="_Toc414997308"/>
      <w:bookmarkStart w:id="361" w:name="_Toc418594800"/>
      <w:r w:rsidRPr="008253B6">
        <w:t>Зоны охраняемых территорий</w:t>
      </w:r>
      <w:bookmarkEnd w:id="357"/>
      <w:bookmarkEnd w:id="358"/>
      <w:bookmarkEnd w:id="359"/>
      <w:bookmarkEnd w:id="360"/>
      <w:bookmarkEnd w:id="361"/>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микрозаповедники,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2" w:name="_Toc414995140"/>
      <w:bookmarkStart w:id="363" w:name="_Toc414996840"/>
      <w:bookmarkStart w:id="364" w:name="_Toc414996920"/>
      <w:bookmarkStart w:id="365" w:name="_Toc414997317"/>
      <w:bookmarkStart w:id="366" w:name="_Toc418594809"/>
      <w:r w:rsidRPr="00FC4EDF">
        <w:t>Земли водоохран</w:t>
      </w:r>
      <w:r>
        <w:t>ных зон водных объектов</w:t>
      </w:r>
      <w:bookmarkEnd w:id="362"/>
      <w:bookmarkEnd w:id="363"/>
      <w:bookmarkEnd w:id="364"/>
      <w:bookmarkEnd w:id="365"/>
      <w:bookmarkEnd w:id="366"/>
    </w:p>
    <w:p w:rsidR="004620DE" w:rsidRDefault="004620DE" w:rsidP="007D2A2A">
      <w:pPr>
        <w:pStyle w:val="30"/>
        <w:numPr>
          <w:ilvl w:val="2"/>
          <w:numId w:val="187"/>
        </w:numPr>
        <w:ind w:left="0" w:firstLine="0"/>
      </w:pPr>
      <w:r w:rsidRPr="00FC4EDF">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t>Порядок установления размеров и границ водоохранных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Ширина водоохранной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4620DE" w:rsidRPr="00FC4EDF" w:rsidRDefault="004620DE" w:rsidP="007D2A2A">
      <w:pPr>
        <w:pStyle w:val="30"/>
        <w:numPr>
          <w:ilvl w:val="2"/>
          <w:numId w:val="187"/>
        </w:numPr>
        <w:ind w:left="0" w:firstLine="0"/>
      </w:pPr>
      <w:r w:rsidRPr="00FC4EDF">
        <w:t>Водоохранные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r w:rsidRPr="00FC4EDF">
        <w:t>Водоохранные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В границах водоохранных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6) размещение специализированных хранилищ пестицидов и агрохимикатов, применение пестицидов и агрохимикатов;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t>В</w:t>
      </w:r>
      <w:r w:rsidR="007A3EEC">
        <w:t xml:space="preserve"> </w:t>
      </w:r>
      <w:r w:rsidRPr="00FC4EDF">
        <w:t>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67" w:name="_Toc414995141"/>
      <w:bookmarkStart w:id="368" w:name="_Toc414996841"/>
      <w:bookmarkStart w:id="369" w:name="_Toc414996921"/>
      <w:bookmarkStart w:id="370" w:name="_Toc414997318"/>
      <w:bookmarkStart w:id="371" w:name="_Toc418594810"/>
      <w:r w:rsidRPr="00002D72">
        <w:t>Земли лесов, выполняющих защитные функции</w:t>
      </w:r>
      <w:bookmarkEnd w:id="367"/>
      <w:bookmarkEnd w:id="368"/>
      <w:bookmarkEnd w:id="369"/>
      <w:bookmarkEnd w:id="370"/>
      <w:bookmarkEnd w:id="371"/>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w:t>
      </w:r>
      <w:r w:rsidR="00650D9D">
        <w:t xml:space="preserve"> </w:t>
      </w:r>
      <w:r w:rsidRPr="00002D72">
        <w:t>,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- 4 – при расчетном годовом снегоприносе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- 9 – при расчетном годовом снегоприносе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- 12 – при расчетном годовом снегоприносе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- 14 – при расчетном годовом снегоприносе свыше 75 до 100 м</w:t>
      </w:r>
      <w:r w:rsidRPr="00273DD0">
        <w:rPr>
          <w:rFonts w:ascii="Times New Roman" w:hAnsi="Times New Roman"/>
          <w:vertAlign w:val="superscript"/>
        </w:rPr>
        <w:t>3</w:t>
      </w:r>
      <w:r w:rsidRPr="00002D72">
        <w:rPr>
          <w:rFonts w:ascii="Times New Roman" w:hAnsi="Times New Roman"/>
        </w:rPr>
        <w:t>/м;</w:t>
      </w:r>
    </w:p>
    <w:p w:rsidR="004620DE" w:rsidRPr="00273DD0" w:rsidRDefault="00650D9D" w:rsidP="007D2A2A">
      <w:pPr>
        <w:pStyle w:val="30"/>
        <w:numPr>
          <w:ilvl w:val="2"/>
          <w:numId w:val="187"/>
        </w:numPr>
        <w:ind w:left="0" w:firstLine="0"/>
      </w:pPr>
      <w:r>
        <w:t xml:space="preserve"> </w:t>
      </w:r>
      <w:r w:rsidR="004620DE" w:rsidRPr="00273DD0">
        <w:t>Почвоукрепительные лесонасаждения следует предусматривать для защиты автомобильных дорог</w:t>
      </w:r>
      <w:r>
        <w:t xml:space="preserve"> </w:t>
      </w:r>
      <w:r w:rsidR="004620DE" w:rsidRPr="00273DD0">
        <w:t xml:space="preserve">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На подверженных водной эрозии склонах крутизной более 1,5°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r w:rsidRPr="00002D72">
        <w:rPr>
          <w:rFonts w:ascii="Times New Roman" w:hAnsi="Times New Roman"/>
        </w:rP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ветроломные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 xml:space="preserve">угодий, автомобильных </w:t>
      </w:r>
      <w:r w:rsidR="00650D9D">
        <w:t>дорог</w:t>
      </w:r>
      <w:r w:rsidRPr="00372975">
        <w:t xml:space="preserve">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2" w:name="_Toc414995142"/>
      <w:bookmarkStart w:id="373" w:name="_Toc414996842"/>
      <w:bookmarkStart w:id="374" w:name="_Toc414996922"/>
      <w:bookmarkStart w:id="375" w:name="_Toc414997319"/>
      <w:bookmarkStart w:id="376" w:name="_Toc418594811"/>
      <w:r w:rsidRPr="00372975">
        <w:t>Земли историко-культурного назначения</w:t>
      </w:r>
      <w:bookmarkEnd w:id="372"/>
      <w:bookmarkEnd w:id="373"/>
      <w:bookmarkEnd w:id="374"/>
      <w:bookmarkEnd w:id="375"/>
      <w:bookmarkEnd w:id="376"/>
    </w:p>
    <w:p w:rsidR="004620DE" w:rsidRPr="00372975" w:rsidRDefault="004620DE" w:rsidP="007D2A2A">
      <w:pPr>
        <w:pStyle w:val="30"/>
        <w:numPr>
          <w:ilvl w:val="2"/>
          <w:numId w:val="187"/>
        </w:numPr>
        <w:ind w:left="0" w:firstLine="0"/>
      </w:pPr>
      <w:r w:rsidRPr="00372975">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77" w:name="_Toc414995143"/>
      <w:bookmarkStart w:id="378" w:name="_Toc414996843"/>
      <w:bookmarkStart w:id="379" w:name="_Toc414996923"/>
      <w:bookmarkStart w:id="380" w:name="_Toc414997320"/>
      <w:bookmarkStart w:id="381" w:name="_Toc418594812"/>
      <w:r>
        <w:t>Особо ценные земли</w:t>
      </w:r>
      <w:bookmarkEnd w:id="377"/>
      <w:bookmarkEnd w:id="378"/>
      <w:bookmarkEnd w:id="379"/>
      <w:bookmarkEnd w:id="380"/>
      <w:bookmarkEnd w:id="381"/>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2" w:name="_Toc414995144"/>
      <w:bookmarkStart w:id="383" w:name="_Toc414996844"/>
      <w:bookmarkStart w:id="384" w:name="_Toc414996924"/>
      <w:bookmarkStart w:id="385" w:name="_Toc414997321"/>
      <w:bookmarkStart w:id="386" w:name="_Toc418594813"/>
      <w:r w:rsidRPr="00DA192A">
        <w:t>Охрана памятников истории и культуры, сохранение и развитие ис</w:t>
      </w:r>
      <w:r>
        <w:t>торических зон</w:t>
      </w:r>
      <w:bookmarkEnd w:id="382"/>
      <w:bookmarkEnd w:id="383"/>
      <w:bookmarkEnd w:id="384"/>
      <w:bookmarkEnd w:id="385"/>
      <w:bookmarkEnd w:id="386"/>
    </w:p>
    <w:p w:rsidR="004620DE" w:rsidRPr="00DA192A" w:rsidRDefault="004620DE" w:rsidP="007D2A2A">
      <w:pPr>
        <w:pStyle w:val="30"/>
        <w:numPr>
          <w:ilvl w:val="2"/>
          <w:numId w:val="187"/>
        </w:numPr>
        <w:ind w:left="0" w:firstLine="0"/>
      </w:pPr>
      <w:r w:rsidRPr="00DA192A">
        <w:t>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нормативных параметров эволюционно сложившихся типов застройки – морфотипов;</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наследия, следует проводить и разрабатывать в соответствии с установленными режимами 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морфотипа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музеефикации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87" w:name="_Toc418594814"/>
      <w:r w:rsidRPr="00521CF4">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87"/>
    </w:p>
    <w:p w:rsidR="004620DE" w:rsidRPr="005847D4" w:rsidRDefault="004620DE" w:rsidP="007D2A2A">
      <w:pPr>
        <w:pStyle w:val="20"/>
        <w:numPr>
          <w:ilvl w:val="1"/>
          <w:numId w:val="187"/>
        </w:numPr>
      </w:pPr>
      <w:bookmarkStart w:id="388" w:name="_Toc406701179"/>
      <w:bookmarkStart w:id="389"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88"/>
      <w:bookmarkEnd w:id="389"/>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0" w:name="_Toc406701180"/>
      <w:bookmarkStart w:id="391" w:name="_Toc418594816"/>
      <w:r w:rsidRPr="009B25C9">
        <w:t>Объекты пожарной охраны</w:t>
      </w:r>
      <w:bookmarkEnd w:id="390"/>
      <w:bookmarkEnd w:id="391"/>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ГПС по охране городов и спецформирований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спецлиниями,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Автолестницы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газодымозащитной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В случае если мощность наружных водопроводных сетей недостаточна для подачи расчетного расхода воды на пожаротушение или при присоединении вводов к тупиковымсетям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2" w:name="_Toc406701181"/>
      <w:bookmarkStart w:id="393" w:name="_Toc418594817"/>
      <w:r w:rsidRPr="00521CF4">
        <w:t>Защитные</w:t>
      </w:r>
      <w:r w:rsidRPr="009579CC">
        <w:t xml:space="preserve"> сооружения</w:t>
      </w:r>
      <w:bookmarkEnd w:id="392"/>
      <w:bookmarkEnd w:id="393"/>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Прокладка транзитных линий водопровода, канализации, отопления, электроснабжения, а также трубо-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Противорадиа-ционное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4" w:name="_Toc406701203"/>
      <w:bookmarkStart w:id="395" w:name="_Toc416110839"/>
      <w:bookmarkStart w:id="396" w:name="_Toc418594818"/>
      <w:r w:rsidRPr="00B426A9">
        <w:t>ПРИЛОЖЕНИЕ № 1. ПРОТИВОПОЖАРНЫЕ ТРЕБОВАНИЯ</w:t>
      </w:r>
      <w:bookmarkEnd w:id="394"/>
      <w:bookmarkEnd w:id="395"/>
      <w:bookmarkEnd w:id="396"/>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кв.м.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автолестниц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397" w:name="_Toc406701204"/>
      <w:r w:rsidRPr="00B426A9">
        <w:rPr>
          <w:bCs/>
        </w:rPr>
        <w:br w:type="page"/>
      </w:r>
    </w:p>
    <w:p w:rsidR="00C66963" w:rsidRPr="00B426A9" w:rsidRDefault="00C66963" w:rsidP="00C66963">
      <w:pPr>
        <w:pStyle w:val="11"/>
        <w:numPr>
          <w:ilvl w:val="0"/>
          <w:numId w:val="0"/>
        </w:numPr>
        <w:ind w:left="360" w:hanging="360"/>
      </w:pPr>
      <w:bookmarkStart w:id="398" w:name="_Toc416110840"/>
      <w:bookmarkStart w:id="399" w:name="_Toc418594819"/>
      <w:r w:rsidRPr="00B426A9">
        <w:t>ПРИЛОЖЕНИЕ № 2. ТРЕБОВАНИЯ ГРАЖДАНСКОЙ ОБОРОНЫ И ПРЕДУПРЕЖДЕНИЯ ЧРЕЗВЫЧАЙНЫХ СИТУАЦИЙ</w:t>
      </w:r>
      <w:bookmarkEnd w:id="397"/>
      <w:bookmarkEnd w:id="398"/>
      <w:bookmarkEnd w:id="399"/>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0" w:name="_Toc406701205"/>
      <w:bookmarkStart w:id="401" w:name="_Toc416110841"/>
      <w:bookmarkStart w:id="402" w:name="_Toc418594820"/>
      <w:r w:rsidRPr="00B426A9">
        <w:t>ПРИЛОЖЕНИЕ № 3. УРОВЕНЬ РЕШЕНИЯ ВОПРОСОВ ОРГАНИЗАЦИИ ТЕРРИТОРИИ В ДОКУМЕНТАХ ТЕРРИТОРИАЛЬНОГО ПЛАНИРОВАНИЯ</w:t>
      </w:r>
      <w:bookmarkEnd w:id="400"/>
      <w:bookmarkEnd w:id="401"/>
      <w:bookmarkEnd w:id="402"/>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террито риального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сельскохо- зяйственного назначения, в т.ч.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3" w:name="_Toc406701206"/>
      <w:bookmarkStart w:id="404" w:name="_Toc416110842"/>
      <w:bookmarkStart w:id="405" w:name="_Toc418594821"/>
      <w:r w:rsidRPr="00762947">
        <w:t>ПРИЛОЖЕНИЕ № 4. ПЕРЕЧЕНЬ ОБЪЕКТОВ, КОТОРЫЕ НЕ ДОПУСКАЕТСЯ ВСТРАИВАТЬ В ЖИЛЫЕ ДОМА</w:t>
      </w:r>
      <w:bookmarkEnd w:id="403"/>
      <w:bookmarkEnd w:id="404"/>
      <w:bookmarkEnd w:id="405"/>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травмопункты,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6"/>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06" w:name="_Toc416110844"/>
      <w:bookmarkStart w:id="407" w:name="_Toc418594823"/>
      <w:r w:rsidRPr="00762947">
        <w:t xml:space="preserve">ПРИЛОЖЕНИЕ № </w:t>
      </w:r>
      <w:r w:rsidR="00762947">
        <w:t>5</w:t>
      </w:r>
      <w:r w:rsidRPr="00762947">
        <w:t>. ПЛОЩАДЬ И РАЗМЕРЫ ЗЕМЕЛЬНЫХ УЧАСТКОВ СКЛАДОВ</w:t>
      </w:r>
      <w:bookmarkEnd w:id="406"/>
      <w:bookmarkEnd w:id="407"/>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Площадь и размеры земельных участков общетоварных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При размещении общетоварных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Уровень товарных запасов для общетоварных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r w:rsidRPr="00762947">
              <w:rPr>
                <w:rFonts w:ascii="Times New Roman" w:hAnsi="Times New Roman"/>
              </w:rPr>
              <w:t>Фруктохранилища</w:t>
            </w:r>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Овощехранилища, картофелехранилища, фруктохранилища,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фруктохранилищ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27"/>
    <w:bookmarkEnd w:id="328"/>
    <w:bookmarkEnd w:id="329"/>
    <w:bookmarkEnd w:id="330"/>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8F6" w:rsidRDefault="00CD48F6">
      <w:r>
        <w:separator/>
      </w:r>
    </w:p>
  </w:endnote>
  <w:endnote w:type="continuationSeparator" w:id="0">
    <w:p w:rsidR="00CD48F6" w:rsidRDefault="00CD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B2D" w:rsidRDefault="00FE5B2D">
    <w:pPr>
      <w:pStyle w:val="af7"/>
      <w:jc w:val="right"/>
    </w:pPr>
    <w:r>
      <w:fldChar w:fldCharType="begin"/>
    </w:r>
    <w:r>
      <w:instrText>PAGE   \* MERGEFORMAT</w:instrText>
    </w:r>
    <w:r>
      <w:fldChar w:fldCharType="separate"/>
    </w:r>
    <w:r w:rsidR="001D5653">
      <w:rPr>
        <w:noProof/>
      </w:rPr>
      <w:t>89</w:t>
    </w:r>
    <w:r>
      <w:rPr>
        <w:noProof/>
      </w:rPr>
      <w:fldChar w:fldCharType="end"/>
    </w:r>
  </w:p>
  <w:p w:rsidR="00FE5B2D" w:rsidRDefault="00FE5B2D">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8F6" w:rsidRDefault="00CD48F6">
      <w:r>
        <w:separator/>
      </w:r>
    </w:p>
  </w:footnote>
  <w:footnote w:type="continuationSeparator" w:id="0">
    <w:p w:rsidR="00CD48F6" w:rsidRDefault="00CD48F6">
      <w:r>
        <w:continuationSeparator/>
      </w:r>
    </w:p>
  </w:footnote>
  <w:footnote w:id="1">
    <w:p w:rsidR="00FE5B2D" w:rsidRPr="00B6560C" w:rsidRDefault="00FE5B2D"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FE5B2D" w:rsidRPr="00B6560C" w:rsidRDefault="00FE5B2D"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FE5B2D" w:rsidRDefault="00FE5B2D"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r w:rsidRPr="00084995">
        <w:rPr>
          <w:rFonts w:ascii="Times New Roman" w:hAnsi="Times New Roman"/>
          <w:sz w:val="16"/>
          <w:szCs w:val="16"/>
          <w:vertAlign w:val="superscript"/>
        </w:rPr>
        <w:t>2</w:t>
      </w:r>
      <w:r w:rsidRPr="00084995">
        <w:rPr>
          <w:rFonts w:ascii="Times New Roman" w:hAnsi="Times New Roman"/>
          <w:sz w:val="16"/>
          <w:szCs w:val="16"/>
        </w:rPr>
        <w:t xml:space="preserve"> и несгораемые стены.</w:t>
      </w:r>
    </w:p>
  </w:footnote>
  <w:footnote w:id="4">
    <w:p w:rsidR="00FE5B2D" w:rsidRDefault="00FE5B2D"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FE5B2D" w:rsidRPr="00CE733D" w:rsidRDefault="00FE5B2D"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FE5B2D" w:rsidRDefault="00FE5B2D" w:rsidP="004620DE">
      <w:pPr>
        <w:pStyle w:val="affff2"/>
      </w:pPr>
    </w:p>
  </w:footnote>
  <w:footnote w:id="6">
    <w:p w:rsidR="00FE5B2D" w:rsidRPr="001217EB" w:rsidRDefault="00FE5B2D"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FE5B2D" w:rsidRDefault="00FE5B2D"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FE5B2D" w:rsidRDefault="00FE5B2D" w:rsidP="006A1913">
        <w:pPr>
          <w:pStyle w:val="af5"/>
          <w:jc w:val="right"/>
        </w:pPr>
        <w:r>
          <w:fldChar w:fldCharType="begin"/>
        </w:r>
        <w:r>
          <w:instrText xml:space="preserve"> PAGE   \* MERGEFORMAT </w:instrText>
        </w:r>
        <w:r>
          <w:fldChar w:fldCharType="separate"/>
        </w:r>
        <w:r w:rsidR="001D5653">
          <w:rPr>
            <w:noProof/>
          </w:rPr>
          <w:t>89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0F3265"/>
    <w:rsid w:val="0010387E"/>
    <w:rsid w:val="00107F2D"/>
    <w:rsid w:val="00120AE8"/>
    <w:rsid w:val="001217EB"/>
    <w:rsid w:val="001273A2"/>
    <w:rsid w:val="0012775B"/>
    <w:rsid w:val="00130EE2"/>
    <w:rsid w:val="00131CA2"/>
    <w:rsid w:val="00133E5A"/>
    <w:rsid w:val="00135D43"/>
    <w:rsid w:val="00135FAD"/>
    <w:rsid w:val="00136417"/>
    <w:rsid w:val="001366AC"/>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D5653"/>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4E59"/>
    <w:rsid w:val="002C5803"/>
    <w:rsid w:val="002D10B5"/>
    <w:rsid w:val="002D3ABB"/>
    <w:rsid w:val="002D7058"/>
    <w:rsid w:val="002D7519"/>
    <w:rsid w:val="002D77F0"/>
    <w:rsid w:val="002E01B3"/>
    <w:rsid w:val="002E0250"/>
    <w:rsid w:val="002E1DD1"/>
    <w:rsid w:val="002E3605"/>
    <w:rsid w:val="002E7E21"/>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0859"/>
    <w:rsid w:val="00650D9D"/>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3EA3"/>
    <w:rsid w:val="008B5C00"/>
    <w:rsid w:val="008B6819"/>
    <w:rsid w:val="008B76B3"/>
    <w:rsid w:val="008C0400"/>
    <w:rsid w:val="008C0EA8"/>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9F1D5E"/>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8F6"/>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C1B0B"/>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2E5F"/>
    <w:rsid w:val="00F33321"/>
    <w:rsid w:val="00F341C2"/>
    <w:rsid w:val="00F3460A"/>
    <w:rsid w:val="00F358A0"/>
    <w:rsid w:val="00F37478"/>
    <w:rsid w:val="00F437C1"/>
    <w:rsid w:val="00F46F0F"/>
    <w:rsid w:val="00F51313"/>
    <w:rsid w:val="00F558B7"/>
    <w:rsid w:val="00F55A0B"/>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B2D"/>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c"/>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3" Type="http://schemas.openxmlformats.org/officeDocument/2006/relationships/styles" Target="styles.xm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083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918785"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www.docload.ru/Basesdoc/11/11776/index.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hyperlink" Target="http://docs.cntd.ru/document/9014361" TargetMode="Externa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A30CC-1695-4A24-8EEA-55C7E00D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83880</Words>
  <Characters>478121</Characters>
  <Application>Microsoft Office Word</Application>
  <DocSecurity>0</DocSecurity>
  <Lines>3984</Lines>
  <Paragraphs>1121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SALIS</cp:lastModifiedBy>
  <cp:revision>12</cp:revision>
  <cp:lastPrinted>2015-07-24T10:56:00Z</cp:lastPrinted>
  <dcterms:created xsi:type="dcterms:W3CDTF">2015-11-13T08:18:00Z</dcterms:created>
  <dcterms:modified xsi:type="dcterms:W3CDTF">2015-12-29T12:02:00Z</dcterms:modified>
</cp:coreProperties>
</file>